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15302A"/>
          <w:sz w:val="44"/>
          <w:szCs w:val="44"/>
        </w:rPr>
        <w:t xml:space="preserve">Внедрение ESG в управлении, рисках и комплаенсе</w:t>
      </w:r>
    </w:p>
    <w:p>
      <w:pPr>
        <w:spacing w:after="120"/>
      </w:pPr>
      <w:r>
        <w:rPr>
          <w:rFonts w:ascii="Arial" w:cs="Arial" w:eastAsia="Arial" w:hAnsi="Arial"/>
          <w:color w:val="2E7D63"/>
          <w:sz w:val="28"/>
          <w:szCs w:val="28"/>
        </w:rPr>
        <w:t xml:space="preserve">Практический подход для компаний Казахстана</w:t>
      </w:r>
    </w:p>
    <w:p>
      <w:pPr>
        <w:pBdr>
          <w:bottom w:val="single" w:color="E3B23C" w:sz="12" w:space="8"/>
        </w:pBdr>
        <w:spacing w:after="360"/>
      </w:pPr>
      <w:r>
        <w:rPr>
          <w:rFonts w:ascii="Arial" w:cs="Arial" w:eastAsia="Arial" w:hAnsi="Arial"/>
          <w:color w:val="56665F"/>
          <w:sz w:val="22"/>
          <w:szCs w:val="22"/>
        </w:rPr>
        <w:t xml:space="preserve">Доклад. [ФИО докладчика], [мероприятие, дата]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5302A"/>
          <w:sz w:val="30"/>
          <w:szCs w:val="30"/>
        </w:rPr>
        <w:t xml:space="preserve">1. Почему этим нужно заниматься сейчас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Казахстан переходит от добровольной ESG-отчётности к обязательной. 19 марта 2026 года межведомственная рабочая группа при Министерстве финансов рассмотрела реализацию Дорожной карты по поэтапному внедрению стандартов IFRS S1 и S2 на 2027–2028 годы. Документ подготовлен совместно с Программой развития ООН и включает 37 мероприятий по формированию нормативной, институциональной и методологической основы. За отчётный период 2026 года предусмотрено добровольное применение IFRS S2, а далее периметр обязательной отчётности расширяется.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сектор уже обязан раскрывать ESG-информацию: требования Агентства по регулированию и развитию финансового рынка опираются в том числе на IFRS S1 и S2. Параллельно действуют методические документы KASE и AIX, а долгосрочный ориентир задаёт Стратегия достижения углеродной нейтральности до 2060 года. Оценка готовности рынка, проведённая ПРООН, показала, что казахстанские компании продвинулись в корпоративном управлении и управлении рисками, но нуждаются в развитии количественных раскрытий, климатических данных и стратегической интеграции факторов устойчивого развития.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вывод для компаний: IFRS S1 и S2 требуют показать не отдельные цифры, а систему — как ESG встроено в управление и в управление рисками. Отчёт, за которым нет этой системы, не выдержит проверки.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5302A"/>
          <w:sz w:val="30"/>
          <w:szCs w:val="30"/>
        </w:rPr>
        <w:t xml:space="preserve">2. Модель трёх контуров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ESG не должно быть отдельным проектом подразделения по устойчивому развитию. Оно работает, когда встроено в три контура, которые уже существуют в любой крупной компании. Контур управления отвечает на вопрос, кто принимает решения и несёт ответственность: совет директоров, комитеты, правление, стратегия и мотивация. Контур рисков отвечает на вопрос, что может пойти не так и во что это обойдётся: ESG-риски в общей системе управления рисками, их финансовая оценка и сценарии. Контур комплаенса отвечает на вопрос, соблюдает ли компания свои обязательства: требования законов и стандартов, собственные политики и достоверность раскрытий.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Удобным каркасом для внедрения служит структура IFRS S1, унаследованная от TCFD.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5360"/>
        <w:gridCol w:w="2000"/>
      </w:tblGrid>
      <w:tr>
        <w:trPr>
          <w:tblHeader/>
        </w:trPr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1530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Элемент IFRS S1</w:t>
            </w:r>
          </w:p>
        </w:tc>
        <w:tc>
          <w:tcPr>
            <w:tcW w:type="dxa" w:w="5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1530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Что нужно показать</w:t>
            </w:r>
          </w:p>
        </w:tc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1530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Контур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Управление</w:t>
            </w:r>
          </w:p>
        </w:tc>
        <w:tc>
          <w:tcPr>
            <w:tcW w:type="dxa" w:w="5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Как совет директоров и менеджмент контролируют риски и возможности в области устойчивого развития</w:t>
            </w:r>
          </w:p>
        </w:tc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Управление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Стратегия</w:t>
            </w:r>
          </w:p>
        </w:tc>
        <w:tc>
          <w:tcPr>
            <w:tcW w:type="dxa" w:w="5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Как ESG-риски влияют на бизнес-модель, финансы и стратегию в краткой, средней и долгой перспективе</w:t>
            </w:r>
          </w:p>
        </w:tc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Управление и риски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Управление рисками</w:t>
            </w:r>
          </w:p>
        </w:tc>
        <w:tc>
          <w:tcPr>
            <w:tcW w:type="dxa" w:w="5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Как ESG-риски выявляются, оцениваются и интегрируются в общую систему управления рисками</w:t>
            </w:r>
          </w:p>
        </w:tc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Риски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Метрики и цели</w:t>
            </w:r>
          </w:p>
        </w:tc>
        <w:tc>
          <w:tcPr>
            <w:tcW w:type="dxa" w:w="5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Какие показатели используются, какие цели поставлены и как отслеживается прогресс</w:t>
            </w:r>
          </w:p>
        </w:tc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Все три контура</w:t>
            </w:r>
          </w:p>
        </w:tc>
      </w:tr>
    </w:tbl>
    <w:p>
      <w:pPr>
        <w:spacing w:after="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5302A"/>
          <w:sz w:val="30"/>
          <w:szCs w:val="30"/>
        </w:rPr>
        <w:t xml:space="preserve">3. Контур управления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E7D63"/>
          <w:sz w:val="26"/>
          <w:szCs w:val="26"/>
        </w:rPr>
        <w:t xml:space="preserve">Роль совета директоров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совета директоров главное изменение состоит в том, что ESG перестаёт быть информационным пунктом повестки и становится предметом надзора с ответственностью. Совет утверждает ESG-политику и стратегию, рассматривает ESG-вопросы с установленной периодичностью (не реже [__] раз в год) и утверждает перечень существенных тем, в том числе по принципу двойной существенности: как компания влияет на общество и среду и как ESG-факторы влияют на компанию.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 устойчивому развитию закрепляются за отдельным комитетом или за комитетом по стратегии либо аудиту. Членам совета требуется обучение, а в составе совета желательно иметь хотя бы одного члена с экспертизой в ESG или климатических рисках. ESG-показатели, такие как охрана труда, выбросы и соблюдение комплаенс-требований, включаются в ключевые показатели деятельности топ-менеджмента. Отчёт об устойчивом развитии должен проходить тот же уровень контроля, что и финансовая отчётность.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E7D63"/>
          <w:sz w:val="26"/>
          <w:szCs w:val="26"/>
        </w:rPr>
        <w:t xml:space="preserve">Распределение ролей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ответственности удобно строить по модели трёх линий. Совет директоров и профильный комитет осуществляют надзор, утверждают стратегию, политику и существенные темы. Правление реализует стратегию, распределяет ресурсы и отвечает за ESG-цели в своих показателях. Первая линия — бизнес-подразделения: владельцы процессов управляют ESG-рисками и собирают первичные данные. Вторая линия — управление рисками, комплаенс и ESG-офис: методология, контроль, агрегирование данных и мониторинг. Третья линия — внутренний аудит, который независимо оценивает систему и достоверность ESG-данных. Ключевой принцип: ответственность за ESG-риски несут владельцы процессов, а вторая линия выступает методологом и контролёром, а не исполнителем.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5302A"/>
          <w:sz w:val="30"/>
          <w:szCs w:val="30"/>
        </w:rPr>
        <w:t xml:space="preserve">4. Контур рисков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E7D63"/>
          <w:sz w:val="26"/>
          <w:szCs w:val="26"/>
        </w:rPr>
        <w:t xml:space="preserve">ESG-риски внутри ERM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Типичная ошибка — вести отдельный «ESG-реестр» рядом с корпоративным реестром рисков. Это создаёт двойной учёт, и ESG-риски не доходят до управленческих решений. Правильный подход — использовать те же шкалы оценки, тех же владельцев и тот же отчёт совету директоров, расширив перечень рисков и горизонты планирования. Практическим стандартом такой интеграции служит руководство COSO и WBCSD «Применение управления рисками организации к рискам, связанным с ESG» (2018). Оно выделяет пять компонентов: управление и культура, стратегия и постановка целей, результаты деятельности (выявление, оценка, приоритизация и реагирование), анализ и пересмотр, информация, коммуникации и отчётность.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E7D63"/>
          <w:sz w:val="26"/>
          <w:szCs w:val="26"/>
        </w:rPr>
        <w:t xml:space="preserve">Карта ESG-рисков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200"/>
        <w:gridCol w:w="3160"/>
      </w:tblGrid>
      <w:tr>
        <w:trPr>
          <w:tblHeader/>
        </w:trPr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1530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Блок</w:t>
            </w:r>
          </w:p>
        </w:tc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1530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Примеры рисков</w:t>
            </w:r>
          </w:p>
        </w:tc>
        <w:tc>
          <w:tcPr>
            <w:tcW w:type="dxa" w:w="3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1530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Финансовое проявление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E: климат и экология</w:t>
            </w:r>
          </w:p>
        </w:tc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Физические риски (жара, паводки); переходные риски: квоты на выбросы, углеродное регулирование; штрафы по Экологическому кодексу</w:t>
            </w:r>
          </w:p>
        </w:tc>
        <w:tc>
          <w:tcPr>
            <w:tcW w:type="dxa" w:w="3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Ущерб активам, рост затрат, плата за выбросы, ограничения финансирования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S: люди и общество</w:t>
            </w:r>
          </w:p>
        </w:tc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Травматизм, трудовые конфликты, нарушения прав в цепочке поставок, конфликты с местными сообществами</w:t>
            </w:r>
          </w:p>
        </w:tc>
        <w:tc>
          <w:tcPr>
            <w:tcW w:type="dxa" w:w="3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Простои, иски, текучесть, потеря социальной лицензии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G: управление и этика</w:t>
            </w:r>
          </w:p>
        </w:tc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Коррупция, конфликт интересов, мошенничество, санкции, кибератаки, недостоверные ESG-данные</w:t>
            </w:r>
          </w:p>
        </w:tc>
        <w:tc>
          <w:tcPr>
            <w:tcW w:type="dxa" w:w="3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Штрафы, уголовная ответственность, репутационный ущерб, отказ инвесторов</w:t>
            </w:r>
          </w:p>
        </w:tc>
      </w:tr>
    </w:tbl>
    <w:p>
      <w:pPr>
        <w:spacing w:after="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Казахстане система торговли квотами на выбросы парниковых газов действует с 2013 года, поэтому переходные климатические риски для крупных эмитентов носят не теоретический, а вполне измеримый характер. Каждый риск важно описывать через финансовое влияние: именно этого требует IFRS S1, и это язык, понятный совету директоров.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E7D63"/>
          <w:sz w:val="26"/>
          <w:szCs w:val="26"/>
        </w:rPr>
        <w:t xml:space="preserve">Процесс управления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Цикл управления ESG-рисками включает пять шагов. Идентификация опирается на анализ существенности, опрос владельцев процессов и отраслевые карты рисков. Оценка проводится по вероятности и влиянию, выраженному в деньгах, в краткосрочном, среднесрочном и долгосрочном горизонтах. Сценарный анализ климатических рисков требуется IFRS S2; начать можно с качественных сценариев и постепенно переходить к количественным. Реагирование предполагает выбор между снижением, передачей и принятием риска с планом мероприятий. Мониторинг строится на ключевых индикаторах риска с порогами и порядком эскалации. Результат цикла — реестр ESG-рисков с владельцами, оценкой в деньгах и индикаторами раннего предупреждения, который регулярно рассматривает совет директоров.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5302A"/>
          <w:sz w:val="30"/>
          <w:szCs w:val="30"/>
        </w:rPr>
        <w:t xml:space="preserve">5. Контур комплаенса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E7D63"/>
          <w:sz w:val="26"/>
          <w:szCs w:val="26"/>
        </w:rPr>
        <w:t xml:space="preserve">От антикоррупции к ESG-комплаенсу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Исторически комплаенс в казахстанских компаниях сосредоточен на противодействии коррупции и конфликту интересов; в квазигосударственном секторе антикоррупционная комплаенс-служба обязательна, независима от исполнительного органа и подотчётна совету директоров (статья 16 Закона «О противодействии коррупции»). При внедрении ESG предмет комплаенса расширяется до соблюдения всех ESG-обязательств: экологических, трудовых, антикоррупционных, санкционных и обязательств по раскрытию информации.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служит единый реестр обязательств: перечень требований законов, стандартов и собственных ESG-заявлений компании с назначенными владельцами. Каркасом системы могут выступать ISO 37301 (системы управления соответствием) и ISO 37001 (системы противодействия взяточничеству). Важно помнить, что публичные ESG-заявления компании — тоже обязательства: если заявленная цель не подтверждается данными, возникает комплаенс-риск гринвошинга.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E7D63"/>
          <w:sz w:val="26"/>
          <w:szCs w:val="26"/>
        </w:rPr>
        <w:t xml:space="preserve">Инструменты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инструментов ESG-комплаенса у компаний уже есть в антикоррупционном контуре, и задача состоит в расширении их охвата. Проверку контрагентов следует дополнить критериями охраны труда, экологии, прав работников и санкций. Кодекс поведения должен охватывать этику, недискриминацию, права человека и отношение к окружающей среде. Горячая линия становится единым каналом для сообщений о коррупции, нарушениях этики, дискриминации и охраны труда с гарантией защиты заявителей. Обучение строится адресно: вводный курс для всех работников и отдельные программы для совета директоров, руководителей и специалистов по закупкам. Комплаенс-служба также проверяет достоверность раскрываемых ESG-показателей и публичных заявлений и проводит расследования ESG-нарушений по единому порядку с отчётом совету директоров.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5302A"/>
          <w:sz w:val="30"/>
          <w:szCs w:val="30"/>
        </w:rPr>
        <w:t xml:space="preserve">6. Данные и метрики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соединяют три контура: без них нет ни ESG-отчёта, ни управления. Для каждого показателя нужны методика расчёта, владелец, внутренний контроль и со временем внешнее заверение.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360"/>
        <w:gridCol w:w="2400"/>
      </w:tblGrid>
      <w:tr>
        <w:trPr>
          <w:tblHeader/>
        </w:trPr>
        <w:tc>
          <w:tcPr>
            <w:tcW w:type="dxa" w:w="4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1530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Показатель</w:t>
            </w:r>
          </w:p>
        </w:tc>
        <w:tc>
          <w:tcPr>
            <w:tcW w:type="dxa" w:w="2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1530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Стандарт</w:t>
            </w:r>
          </w:p>
        </w:tc>
        <w:tc>
          <w:tcPr>
            <w:tcW w:type="dxa" w:w="24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1530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Владелец данных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Выбросы парниковых газов, Scope 1 и 2</w:t>
            </w:r>
          </w:p>
        </w:tc>
        <w:tc>
          <w:tcPr>
            <w:tcW w:type="dxa" w:w="2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IFRS S2; GRI 305</w:t>
            </w:r>
          </w:p>
        </w:tc>
        <w:tc>
          <w:tcPr>
            <w:tcW w:type="dxa" w:w="24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Экология, энергетика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Травматизм и происшествия</w:t>
            </w:r>
          </w:p>
        </w:tc>
        <w:tc>
          <w:tcPr>
            <w:tcW w:type="dxa" w:w="2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GRI 403</w:t>
            </w:r>
          </w:p>
        </w:tc>
        <w:tc>
          <w:tcPr>
            <w:tcW w:type="dxa" w:w="24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Охрана труда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Оценка коррупционных рисков, обучение, подтверждённые случаи</w:t>
            </w:r>
          </w:p>
        </w:tc>
        <w:tc>
          <w:tcPr>
            <w:tcW w:type="dxa" w:w="2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GRI 205-1, 205-2, 205-3</w:t>
            </w:r>
          </w:p>
        </w:tc>
        <w:tc>
          <w:tcPr>
            <w:tcW w:type="dxa" w:w="24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Комплаенс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Обращения на горячую линию и их результаты</w:t>
            </w:r>
          </w:p>
        </w:tc>
        <w:tc>
          <w:tcPr>
            <w:tcW w:type="dxa" w:w="2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GRI 2-26</w:t>
            </w:r>
          </w:p>
        </w:tc>
        <w:tc>
          <w:tcPr>
            <w:tcW w:type="dxa" w:w="24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Комплаенс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Существенные ESG-риски и их финансовое влияние</w:t>
            </w:r>
          </w:p>
        </w:tc>
        <w:tc>
          <w:tcPr>
            <w:tcW w:type="dxa" w:w="2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IFRS S1</w:t>
            </w:r>
          </w:p>
        </w:tc>
        <w:tc>
          <w:tcPr>
            <w:tcW w:type="dxa" w:w="24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Управление рисками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Доля проверенных контрагентов с ESG-критериями</w:t>
            </w:r>
          </w:p>
        </w:tc>
        <w:tc>
          <w:tcPr>
            <w:tcW w:type="dxa" w:w="23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Внутренний КПД</w:t>
            </w:r>
          </w:p>
        </w:tc>
        <w:tc>
          <w:tcPr>
            <w:tcW w:type="dxa" w:w="24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Закупки, комплаенс</w:t>
            </w:r>
          </w:p>
        </w:tc>
      </w:tr>
    </w:tbl>
    <w:p>
      <w:pPr>
        <w:spacing w:after="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5302A"/>
          <w:sz w:val="30"/>
          <w:szCs w:val="30"/>
        </w:rPr>
        <w:t xml:space="preserve">7. Дорожная карта внедрения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последовательность рассчитана на 24 месяца; сроки ориентировочные и зависят от масштаба компании и её попадания в обязательный периметр национальной дорожной карты.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0–3 месяца, диагностика: анализ разрывов с требованиями IFRS S1 и S2, анализ существенности, инвентаризация данных.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3–6 месяцев, архитектура: ESG-политика, роли совета директоров и комитета, методика оценки ESG-рисков, реестр обязательств.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6–12 месяцев, интеграция: ESG-риски в корпоративной системе управления рисками, ESG-показатели в КПД, расширенная проверка контрагентов, единая горячая линия.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12–24 месяца, отчётность: раскрытие по IFRS S2, затем по S1; внутренний контроль ESG-данных и внешнее заверение.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5302A"/>
          <w:sz w:val="30"/>
          <w:szCs w:val="30"/>
        </w:rPr>
        <w:t xml:space="preserve">8. Типичные ошибки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частые ошибки внедрения зеркально отражают принципы, изложенные выше. ESG ведётся как отдельный проект: отдел пишет отчёт, а процессы не меняются. ESG-риски живут в параллельном реестре вне ERM и не доходят до решений. Отчёт публикуется раньше, чем появляются данные, методики и владельцы показателей. Совет директоров включает ESG в повестку формально, без решений, целей и ответственности. Комплаенс остаётся только антикоррупционным, и экологические и трудовые обязательства выпадают из контроля. Наконец, публичные цели не подкрепляются доказательствами, что создаёт риск обвинений в гринвошинге.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5302A"/>
          <w:sz w:val="30"/>
          <w:szCs w:val="30"/>
        </w:rPr>
        <w:t xml:space="preserve">Выводы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ESG внедряется не отдельным проектом, а через три существующих контура: управление, риски и комплаенс. Переход Казахстана на IFRS S1 и S2 делает эту интеграцию обязательной, потому что раскрывать придётся не только цифры, но и систему, которая за ними стоит. Начинать стоит с диагностики разрывов и назначения владельцев данных, а не с подготовки отчёта.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15302A"/>
          <w:sz w:val="30"/>
          <w:szCs w:val="30"/>
        </w:rPr>
        <w:t xml:space="preserve">Источники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Министерство финансов РК. Заседание межведомственной рабочей группы по внедрению IFRS S1 и S2, 19.03.2026. https://uchet.kz/news/vnedrenie-standartov-msfo-ifrs-s1-i-s2-gotovitsya-v-kazakhstane/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ПРООН в Казахстане. Национальная дорожная карта по раскрытию информации в области устойчивого развития: поэтапное внедрение IFRS S1 и S2 (май 2026). https://www.undp.org/ru/node/582526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ПРООН в Казахстане. Оценка готовности рынка и нормативно-правовой среды к внедрению IFRS S1 и S2 (май 2026). https://www.undp.org/kazakhstan/publications/assessment-market-and-regulatory-readiness-adoption-ifrs-s1-and-s2-sustainability-disclosure-standards-kazakhstan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Курсив. Компании Казахстана переходят на новый стандарт нефинансовой отчётности. https://kz.kursiv.media/opinions/standart-nefinansovoi-otchetnosti/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ISSB. IFRS S1 General Requirements for Disclosure of Sustainability-related Financial Information; IFRS S2 Climate-related Disclosures (2023).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COSO, WBCSD. Applying Enterprise Risk Management to Environmental, Social and Governance-related Risks (2018).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The IIA. The IIA's Three Lines Model (2020).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ISO 37301:2021 Compliance management systems; ISO 37001 Anti-bribery management systems.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Закон Республики Казахстан «О противодействии коррупции» от 18.11.2015 № 410-V, ст. 16.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Стратегия достижения углеродной нейтральности Республики Казахстан до 2060 года.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GRI 2: General Disclosures 2021; GRI 205: Anti-corruption 2016; GRI 305: Emissions 2016; GRI 403: Occupational Health and Safety 2018.</w:t>
      </w:r>
    </w:p>
    <w:sectPr>
      <w:footerReference w:type="default" r:id="rId7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5656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2026-09-30T05:33:42.489Z</dcterms:created>
  <dcterms:modified xsi:type="dcterms:W3CDTF">2026-09-30T05:33:42.495Z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