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0F2A36"/>
          <w:sz w:val="44"/>
          <w:szCs w:val="44"/>
        </w:rPr>
        <w:t xml:space="preserve">ESG в работе комплаенс-службы</w:t>
      </w:r>
    </w:p>
    <w:p>
      <w:pPr>
        <w:spacing w:after="120"/>
      </w:pPr>
      <w:r>
        <w:rPr>
          <w:rFonts w:ascii="Arial" w:cs="Arial" w:eastAsia="Arial" w:hAnsi="Arial"/>
          <w:color w:val="2F6E8E"/>
          <w:sz w:val="28"/>
          <w:szCs w:val="28"/>
        </w:rPr>
        <w:t xml:space="preserve">Опыт железнодорожных компаний Казахстана: группа АО «НК «Қазақстан темір жолы»</w:t>
      </w:r>
    </w:p>
    <w:p>
      <w:pPr>
        <w:pBdr>
          <w:bottom w:val="single" w:color="E0A11B" w:sz="12" w:space="8"/>
        </w:pBdr>
        <w:spacing w:after="360"/>
      </w:pPr>
      <w:r>
        <w:rPr>
          <w:rFonts w:ascii="Arial" w:cs="Arial" w:eastAsia="Arial" w:hAnsi="Arial"/>
          <w:color w:val="55656E"/>
          <w:sz w:val="22"/>
          <w:szCs w:val="22"/>
        </w:rPr>
        <w:t xml:space="preserve">Доклад. [ФИО докладчика], [мероприятие, дата]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1. Почему ESG касается комплаенса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ESG (экология, общество, корпоративное управление) часто воспринимаются как задача подразделений по устойчивому развитию или экологии. Однако блок G почти целиком состоит из того, чем комплаенс-служба занимается ежедневно: противодействие коррупции, управление конфликтом интересов, деловая этика, работа с сообщениями о нарушениях, проверка контрагентов. Значительная часть блока S, прежде всего каналы сообщений и защита заявителей, также находится в зоне ответственности комплаенса.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это указывают три внешних фактора. Во-первых, ESG-рейтинговые агентства (S&amp;P Global, Moody's и другие) оценивают наличие и работу антикоррупционных политик, горячих линий и число подтверждённых нарушений. Во-вторых, единственный акционер национальной железнодорожной компании, АО «Самрук-Қазына», ожидает от портфельных компаний раскрытия ESG-информации и действующих комплаенс-программ. В-третьих, стандарты отчётности, в первую очередь GRI 205 «Противодействие коррупции» и GRI 2-26 «Механизмы обращения за советом и сообщения о нарушениях», требуют показателей, которые собирает именно комплаенс-служба.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2. Особенности железнодорожной отрасли Казахстана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Железная дорога сочетает несколько факторов, из-за которых ESG-риски здесь выше среднего. Масштабные закупки и инвестиционные программы создают высокий риск коррупции и конфликта интересов на стороне заказчика. Национальный перевозчик и оператор магистральной сети входит в группу Фонда национального благосостояния, то есть относится к квазигосударственному сектору с повышенными требованиями к прозрачности.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ҚТЖ является одним из крупнейших работодателей страны, а железная дорога — опасным производством, поэтому охрана труда и безопасность движения становятся частью социальной повестки. Экологический след отрасли связан с эксплуатацией тепловозов, котельных и образованием отходов, что создаёт риск недостоверной климатической отчётности. Развитие транзитных коридоров требует проверки иностранных контрагентов с учётом санкционных и экспортных ограничений, а управление магистральной сетью требует антимонопольного комплаенса в вопросах доступа к инфраструктуре и тарифов.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3. Антикоррупционная рамка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Ключевая норма содержится в пункте 3 статьи 16 Закона Республики Казахстан «О противодействии коррупции». В субъектах квазигосударственного сектора определяется структурное подразделение или ответственное лицо, исполняющее функции антикоррупционной комплаенс-службы; при этом ответственное лицо определяется с учётом потенциального конфликта интересов. Служба осуществляет полномочия независимо от исполнительного органа и должностных лиц, подотчётна совету директоров (наблюдательному совету) и является независимой при обеспечении соблюдения антикоррупционного законодательства. Компетенция и порядок работы службы определяются внутренним актом на основе Типового положения об антикоррупционных комплаенс-службах.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предпринимательства, не относящиеся к квазигосударственному сектору, в том числе частные перевозчики и операторы подвижного состава, вправе создавать комплаенс-службы добровольно. На практике это всё чаще становится требованием крупных заказчиков и партнёров. Государственные приоритеты в этой сфере определяет Концепция антикоррупционной политики Республики Казахстан на 2022–2026 годы.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4. ESG-рамка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Климатическую повестку задаёт Стратегия достижения углеродной нейтральности Республики Казахстан до 2060 года, которая служит ориентиром для декарбонизации транспорта. Экологический кодекс 2021 года устанавливает требования к выбросам и обращению с отходами, а классификация (таксономия) зелёных проектов определяет критерии для зелёного финансирования.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группы Фонда действует Концепция низкоуглеродного развития АО «Самрук-Қазына» (2022), а Фонд регулярно раскрывает ESG- и климатические рейтинги портфельных компаний и использует их для принятия управленческих решений. Для комплаенса важно, что каждый из этих документов порождает обязательства, выполнение которых нужно контролировать и достоверно раскрывать.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5. Корпоративный центр: АО «Самрук-Қазына»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комплаенс Фонда обеспечивает соблюдение антикоррупционного законодательства, развивает комплаенс-программу и координирует деятельность комплаенс-служб портфельных компаний. В её функции входят коммуникации и обучение, сопровождение горячей линии, проверки и расследования, взаимодействие с третьими сторонами, выявление и урегулирование конфликтов интересов. Горячая линия Фонда обслуживается независимым оператором и принимает обращения на казахском, русском и английском языках, в том числе анонимно.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 году Фонд ввёл в эксплуатацию систему E-Compliance, которая автоматизирует рассмотрение обращений горячей линии и проверку контрагентов, включая доступ к сведениям из государственных баз, определение уровня риска и формирование типовых заключений через единый интерфейс для всех компаний группы. Тогда же запущены онлайн-курс «Деловая этика и роль высшего менеджмента в корпоративной комплаенс-системе» и программа «Комплаенс Эксперт» для работников комплаенс-служб группы.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6. Комплаенс в группе ҚТЖ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АО «НК «ҚТЖ» действует Комплаенс-служба, непосредственно подчинённая совету директоров и отчитывающаяся перед ним. Отчёт о работе горячей линии ежемесячно направляется в АО «Самрук-Қазына» и ежеквартально рассматривается советом директоров компании. Служба разработала декларацию о наличии или отсутствии конфликта интересов и тестовые вопросы на знание антикоррупционного законодательства для новых работников.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Дочерние организации, в которых компании принадлежит более 50% голосующих акций, присоединяются к Политике противодействия коррупции в полном объёме или принимают собственный документ на её основе. Например, ТОО «КТЖ – Грузовые перевозки» имеет собственную горячую линию для сообщений о нарушениях Кодекса поведения, в том числе о фактах коррупции, мошенничества, неэтичного поведения и дискриминации. Политика 2025 года чётко распределяет роли: ответственность за внедрение политики в процессы несут руководители подразделений, владельцы процессов, а Комплаенс-служба отвечает за методологическую поддержку и надзор.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7. Результаты ҚТЖ в ESG-оценках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0F2A3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Оценка</w:t>
            </w:r>
          </w:p>
        </w:tc>
        <w:tc>
          <w:tcPr>
            <w:tcW w:type="dxa" w:w="57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0F2A3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Результат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S&amp;P Global Corporate Sustainability Assessment</w:t>
            </w:r>
          </w:p>
        </w:tc>
        <w:tc>
          <w:tcPr>
            <w:tcW w:type="dxa" w:w="57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54/100 (2023) → 60/100 (2024), наивысший результат среди оценённых портфельных компаний Фонда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Moody's ESG Solutions (2022)</w:t>
            </w:r>
          </w:p>
        </w:tc>
        <w:tc>
          <w:tcPr>
            <w:tcW w:type="dxa" w:w="57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Вхождение в 25% лучших оценённых компаний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PwC Казахстан, раскрытие ESG-информации</w:t>
            </w:r>
          </w:p>
        </w:tc>
        <w:tc>
          <w:tcPr>
            <w:tcW w:type="dxa" w:w="57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Первая десятка рейтинга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Рейтинг корпоративного управления</w:t>
            </w:r>
          </w:p>
        </w:tc>
        <w:tc>
          <w:tcPr>
            <w:tcW w:type="dxa" w:w="57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«BB» по итогам независимой диагностики</w:t>
            </w:r>
          </w:p>
        </w:tc>
      </w:tr>
    </w:tbl>
    <w:p>
      <w:pPr>
        <w:spacing w:after="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ESG-факторы предусмотрены Стратегией развития ҚТЖ до 2029 года в рамках стратегической цели по обеспечению устойчивого развития, включая экологическую устойчивость и совершенствование корпоративного управления. Агентства при оценке рассматривают антикоррупционную политику, горячую линию, обучение, управление рисками и раскрытие данных, то есть именно те области, за которые отвечает комплаенс.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8. Политика противодействия коррупции 2025 года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противодействия коррупции АО «НК «ҚТЖ» и его дочерних организаций в редакции от 23.10.2025 разработана с учётом ISO 37001:2025 «Системы менеджмента борьбы со взяточничеством» и ISO 37301:2021 «Системы управления соответствием». Она устанавливает принцип нулевой терпимости и нулевой уровень терпимости к риску для любой коррупционной схемы, а также определяет двенадцать областей коррупционного риска: от привлечения третьих лиц и подарков до сообщений о нарушениях и внутренних расследований.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ESG-повестки особенно важны три блока политики. Первый — управление конфликтом интересов: письменное уведомление руководителя или Комплаенс-службы, запрет на подчинённость родственников, декларации кандидатов. Второй — работа с третьими лицами: проверка деловой репутации, конфликта интересов, признаков лжепредпринимательства и источника средств, антикоррупционная оговорка в договорах. Третий — сигналы и расследования: горячая линия, проверка каждого сообщения и передача материалов в уполномоченные органы при признаках уголовного деяния.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9. Задачи комплаенса по блокам ESG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экологическом блоке комплаенс-служба контролирует соблюдение требований Экологического кодекса, достоверность климатических данных в отчётности (защита от гринвошинга) и включение экологических условий в требования к поставщикам. В социальном блоке она отвечает за контроль соблюдения требований охраны труда и прав работников, недискриминацию и этику, а также за защиту заявителей о нарушениях. В блоке корпоративного управления это ядро её работы: противодействие коррупции и конфликту интересов, проверка контрагентов и санкционный комплаенс, отчётность совету директоров.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10. Контрагенты: ESG в цепочке поставок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контрагентов является самым естественным мостом между антикоррупционным комплаенсом и ESG. Политика ҚТЖ уже предусматривает проверку контрагентов до начала сотрудничества, антикоррупционную оговорку с правом расторжения договора и информирование партнёров о требованиях политики, а система E-Compliance Фонда даёт единый инструмент для таких проверок. Следующим этапом логично добавить в ту же процедуру ESG-критерии: соблюдение требований охраны труда, экологических норм и прав работников у поставщика.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11. Метрики комплаенса в ESG-отчёте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rPr>
          <w:tblHeader/>
        </w:trPr>
        <w:tc>
          <w:tcPr>
            <w:tcW w:type="dxa" w:w="42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0F2A3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Показатель GRI</w:t>
            </w:r>
          </w:p>
        </w:tc>
        <w:tc>
          <w:tcPr>
            <w:tcW w:type="dxa" w:w="51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0F2A3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Что предоставляет комплаенс-служба</w:t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2-26 Механизмы обращения за советом и сообщения о нарушениях</w:t>
            </w:r>
          </w:p>
        </w:tc>
        <w:tc>
          <w:tcPr>
            <w:tcW w:type="dxa" w:w="51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Число обращений, сроки рассмотрения, доля подтверждённых</w:t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2-27 Соблюдение законодательства</w:t>
            </w:r>
          </w:p>
        </w:tc>
        <w:tc>
          <w:tcPr>
            <w:tcW w:type="dxa" w:w="51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Существенные нарушения и штрафы</w:t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205-1 Подразделения, прошедшие оценку коррупционных рисков</w:t>
            </w:r>
          </w:p>
        </w:tc>
        <w:tc>
          <w:tcPr>
            <w:tcW w:type="dxa" w:w="51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Доля подразделений, охваченных оценкой</w:t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205-2 Информирование и обучение</w:t>
            </w:r>
          </w:p>
        </w:tc>
        <w:tc>
          <w:tcPr>
            <w:tcW w:type="dxa" w:w="51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Охват обучением работников, ознакомление контрагентов с политикой</w:t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205-3 Подтверждённые случаи коррупции</w:t>
            </w:r>
          </w:p>
        </w:tc>
        <w:tc>
          <w:tcPr>
            <w:tcW w:type="dxa" w:w="51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Случаи, дисциплинарные меры, расторгнутые договоры</w:t>
            </w:r>
          </w:p>
        </w:tc>
      </w:tr>
    </w:tbl>
    <w:p>
      <w:pPr>
        <w:spacing w:after="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полезно раскрывать внутренние показатели: долю проверенных контрагентов, долю договоров с антикоррупционной оговоркой, число деклараций о конфликте интересов. Для ҚТЖ эти данные естественно вытекают из разделов 7.8–7.12 политики и отчётов горячей линии.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12. Вызовы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вызов — формальный комплаенс «для рейтинга», когда документы есть, а процедуры не работают; рейтинги всё чаще оценивают результаты, а не наличие политик. Второй — недостоверные ESG-данные: комплаенс должен участвовать в проверке раскрываемых показателей. Третий — конфликт интересов в закупках и инвестиционных проектах, главная зона риска отрасли. Четвёртый — реальная независимость службы: она закреплена законом, но должна обеспечиваться полномочиями, ресурсами и доступом к данным. Пятый — разная зрелость комплаенса в дочерних организациях и у частных операторов. Шестой — доверие к горячей линии: без защиты заявителей канал молчит, и риски остаются невидимыми.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13. Дорожная карта для комплаенс-службы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4"/>
          <w:szCs w:val="24"/>
        </w:rPr>
        <w:t xml:space="preserve">Встроить комплаенс в систему управления ESG: участие в комитете по устойчивому развитию и регулярный отчёт совету директоров.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4"/>
          <w:szCs w:val="24"/>
        </w:rPr>
        <w:t xml:space="preserve">Расширить карту рисков: к коррупционным рискам добавить экологические, трудовые и санкционные.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4"/>
          <w:szCs w:val="24"/>
        </w:rPr>
        <w:t xml:space="preserve">Дополнить проверку контрагентов ESG-критериями в рамках due diligence и системы E-Compliance.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4"/>
          <w:szCs w:val="24"/>
        </w:rPr>
        <w:t xml:space="preserve">Объединить каналы сообщений по коррупции, этике, дискриминации и охране труда, гарантировать защиту заявителей.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4"/>
          <w:szCs w:val="24"/>
        </w:rPr>
        <w:t xml:space="preserve">Собирать метрики по GRI 205 и GRI 2-26 с независимой проверкой данных.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4"/>
          <w:szCs w:val="24"/>
        </w:rPr>
        <w:t xml:space="preserve">Выровнять зрелость комплаенса в группе: единые стандарты и обучение для дочерних организаций.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Выводы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Комплаенс-служба является владельцем большей части ESG-показателей блока G и каналов сообщений блока S. Закон о противодействии коррупции, корпоративный центр в лице АО «Самрук-Қазына» и обновлённая политика 2025 года дают группе ҚТЖ зрелую основу, а внешние ESG-оценки компании растут. Следующий шаг — расширить проверку контрагентов, карту рисков и систему метрик до полного ESG-охвата по всей группе.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Источники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Политика противодействия коррупции АО «НК «ҚТЖ» и его дочерних организаций, ред. от 23.10.2025.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Закон Республики Казахстан «О противодействии коррупции» от 18.11.2015 № 410-V, ст. 16; Типовое положение об антикоррупционных комплаенс-службах в субъектах квазигосударственного сектора.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АО «Самрук-Қазына». Годовой отчёт 2023: Рейтинги ESG и климатические рейтинги. https://ar2023.sk.kz/ru/esg-and-climate-ratings.html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АО «Самрук-Қазына». Годовой отчёт 2024: Рейтинги ESG; Служба комплаенс. https://sk.kz/ar2024/ru/esg-and-climate-ratings.html; https://sk.kz/ar2024/ru/compliance-service.html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АО «Самрук-Қазына». Комплаенс. https://sk.kz/about-fund/compliance/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АО «Самрук-Қазына». Концепция низкоуглеродного развития, 2022. https://sk.kz/investors/financial-performance/reports/low-carbon_development_concept_ru.pdf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АО «НК «ҚТЖ»: профиль компании. https://ipo.sk.kz/companies/ktz/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АО «НК «ҚТЖ». Годовой отчёт за 2022 год. https://kase.kz/files/emitters/TMJL/tmjlp_2022_rus.pdf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PwC Казахстан. ТОП-50 лучших компаний по раскрытию ESG-информации. https://www.pwc.com/kz/en/publications/esg/esg-top-50-december-2024-rus-final.pdf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«Железнодорожник Казахстана». Комплаенс-служба в КТЖ: что такое и для чего нужна? https://rail-news.kz/ru/interview/4875-komplaens-sluzhba-v-ktzh-chto-takoe-i-dlya-chego-nuzhna.html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ТОО «КТЖ – Грузовые перевозки». Горячая линия. https://ktzh-gp.kz/ru/hotline/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GRI 2: General Disclosures 2021; GRI 205: Anti-corruption 2016.</w:t>
      </w:r>
    </w:p>
    <w:sectPr>
      <w:footerReference w:type="default" r:id="rId7"/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5656E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2026-09-30T05:07:35.090Z</dcterms:created>
  <dcterms:modified xsi:type="dcterms:W3CDTF">2026-09-30T05:07:35.098Z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