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0F2A36"/>
          <w:sz w:val="44"/>
          <w:szCs w:val="44"/>
        </w:rPr>
        <w:t xml:space="preserve">ESG в работе комплаенс-службы</w:t>
      </w:r>
    </w:p>
    <w:p>
      <w:pPr>
        <w:spacing w:after="120"/>
      </w:pPr>
      <w:r>
        <w:rPr>
          <w:rFonts w:ascii="Arial" w:cs="Arial" w:eastAsia="Arial" w:hAnsi="Arial"/>
          <w:color w:val="2F6E8E"/>
          <w:sz w:val="28"/>
          <w:szCs w:val="28"/>
        </w:rPr>
        <w:t xml:space="preserve">Опыт железнодорожных компаний Казахстана и России: АО «НК «ҚТЖ» и ОАО «РЖД»</w:t>
      </w:r>
    </w:p>
    <w:p>
      <w:pPr>
        <w:pBdr>
          <w:bottom w:val="single" w:color="E0A11B" w:sz="12" w:space="8"/>
        </w:pBdr>
        <w:spacing w:after="360"/>
      </w:pPr>
      <w:r>
        <w:rPr>
          <w:rFonts w:ascii="Arial" w:cs="Arial" w:eastAsia="Arial" w:hAnsi="Arial"/>
          <w:color w:val="55656E"/>
          <w:sz w:val="22"/>
          <w:szCs w:val="22"/>
        </w:rPr>
        <w:t xml:space="preserve">Доклад. [ФИО докладчика], [мероприятие, дата]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1. Почему ESG касается комплаенса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ESG (экология, общество, корпоративное управление) часто воспринимаются как задача подразделений по устойчивому развитию или экологии. Однако блок G почти целиком состоит из того, чем комплаенс-служба занимается ежедневно: противодействие коррупции, управление конфликтом интересов, деловая этика, работа с сообщениями о нарушениях, проверка контрагентов. Значительная часть блока S, прежде всего каналы сообщений и защита заявителей, также находится в зоне ответственности комплаенса.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это указывают три внешних фактора. Во-первых, ESG-рейтинговые агентства оценивают наличие и работу антикоррупционных политик, горячих линий и число подтверждённых нарушений. Во-вторых, государственные акционеры железнодорожных компаний (в Казахстане это АО «Самрук-Қазына», в России государство) ожидают раскрытия ESG-информации и действующих антикоррупционных программ. В-третьих, стандарты отчётности, в первую очередь GRI 205 «Противодействие коррупции» и GRI 2-26 «Механизмы обращения за советом и сообщения о нарушениях», требуют показателей, которые собирает именно комплаенс-служба.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2. Особенности железнодорожной отрасли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Железная дорога сочетает несколько факторов, из-за которых ESG-риски здесь выше среднего. Масштабные закупки и инвестиционные программы создают высокий риск коррупции и конфликта интересов на стороне заказчика. Государственная собственность означает повышенные требования к прозрачности: в Казахстане железнодорожная компания относится к квазигосударственному сектору, в России является государственной компанией.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Опасное производство и многочисленный персонал делают охрану труда и безопасность движения частью социальной повестки. Экологический след отрасли связан с эксплуатацией тепловозов, котельных и образованием отходов, а значит, возникает риск недостоверной климатической отчётности. Транзитные коридоры требуют проверки иностранных контрагентов с учётом санкционных и экспортных ограничений, а монопольное положение инфраструктуры требует антимонопольного комплаенса в вопросах доступа к сети и тарифов.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3. Регуляторная рамка Казахстана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Ключевая норма содержится в пункте 3 статьи 16 Закона Республики Казахстан «О противодействии коррупции». В субъектах квазигосударственного сектора определяется структурное подразделение или ответственное лицо, исполняющее функции антикоррупционной комплаенс-службы. Служба осуществляет полномочия независимо от исполнительного органа и должностных лиц, подотчётна совету директоров (наблюдательному совету) и является независимой при обеспечении соблюдения антикоррупционного законодательства. Компетенция и порядок работы службы определяются внутренним актом на основе Типового положения об антикоррупционных комплаенс-службах.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группы компаний роль корпоративного центра выполняет АО «Самрук-Қазына». Служба комплаенс Фонда координирует деятельность комплаенс-служб портфельных компаний, сопровождает горячую линию, проводит проверки и расследования, выявляет и урегулирует конфликты интересов. Горячая линия Фонда обслуживается независимым оператором. В 2024 году Служба комплаенс запустила онлайн-курс по деловой этике и роли высшего менеджмента в комплаенс-системе, а также программу «Комплаенс Эксперт» для работников комплаенс-служб группы. ESG-рамку группы дополняют Концепция низкоуглеродного развития Фонда (2022) и регулярная оценка портфельных компаний в ESG- и климатических рейтингах.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4. Регуляторная рамка России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России базовая обязанность организаций принимать меры по предупреждению коррупции закреплена статьёй 13.3 Федерального закона «О противодействии коррупции». Раскрытие ESG-информации регулируется преимущественно рекомендательными документами: Концепцией развития публичной нефинансовой отчётности (распоряжение Правительства РФ от 05.05.2017 № 876-р), рекомендациями Банка России по раскрытию публичными акционерными обществами нефинансовой информации (информационное письмо от 12.07.2021 № ИН-06-28/49) и Методическими рекомендациями по подготовке отчётности об устойчивом развитии (приказ Минэкономразвития России от 01.11.2023 № 764), которые содержат перечень ключевых показателей.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Значимую роль играют инструменты деловых объединений: Антикоррупционная хартия российского бизнеса и антикоррупционный рейтинг РСПП, который составляется по критериям стандарта ISO 37001 и положениям хартии.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5. Кейс АО «НК «Қазақстан темір жолы»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ESG-факторы предусмотрены Стратегией развития ҚТЖ до 2029 года в рамках стратегической цели по обеспечению устойчивого развития, включая экологическую устойчивость и совершенствование корпоративного управления. Рейтинг корпоративного управления компании по итогам независимой диагностики оценён на уровне «BB».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оценки показывают положительную динамику. По данным годовых отчётов АО «Самрук-Қазына», оценка S&amp;P Global Corporate Sustainability Assessment выросла с 54 из 100 в 2023 году до 60 из 100 в 2024 году; это наивысший результат среди портфельных компаний Фонда, прошедших оценку. Компания также входит в первую десятку рейтинга PwC Казахстан по качеству раскрытия ESG-информации.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основа закреплена в Политике противодействия коррупции АО «НК «ҚТЖ» и его дочерних организаций (актуальная редакция от 23.10.2025). Политика разработана с учётом ISO 37001:2025 и ISO 37301:2021, устанавливает принцип нулевой терпимости, требования к управлению конфликтом интересов, проверке третьих лиц, подаркам и представительским расходам, а также порядок сообщений о нарушениях, проверок и внутренних расследований. Отдельный раздел закрепляет независимость и ресурсное обеспечение Комплаенс-службы.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6. Кейс ОАО «РЖД»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2024 года рейтинговое агентство «Эксперт РА» присвоило ОАО «РЖД» рейтинг ESG на уровне ESG-II(b), что означает очень высокий уровень реализации и планирования практик устойчивого развития. Агентство отметило, что Отчёт об устойчивом развитии компании составлен с учётом требований GRI и SASB и содержит раскрытие по TCFD.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система РЖД построена на Кодексе деловой этики и Антикоррупционной политике. Координацию осуществляет Центр по организации противодействия коррупции. В подразделениях проводится регулярная оценка коррупционных рисков и ведётся Сводный реестр коррупционных рисков; в 2024 году проведено 96 проверок исполнения антикоррупционных требований. В договоры включается антикоррупционная оговорка с правом одностороннего расторжения при выявлении нарушений контрагентом.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Показательна работа горячей линии. В 2024 году поступило 500 обращений, на 32% больше, чем годом ранее; 55 из них подтвердились, взыскан ущерб более 22 млн рублей, по 22 обращениям материалы направлены в правоохранительные органы, к 22 работникам применены дисциплинарные меры. Компания расценивает рост обращений как признак доверия к каналу. Антикоррупционное обучение с 2019 года обязательно для всех работников: в течение месяца после приёма на работу и повторно раз в три года.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7. Сравнение моделей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580"/>
        <w:gridCol w:w="3580"/>
      </w:tblGrid>
      <w:tr>
        <w:trPr>
          <w:tblHeader/>
        </w:trPr>
        <w:tc>
          <w:tcPr>
            <w:tcW w:type="dxa" w:w="2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0F2A3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Параметр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0F2A3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АО «НК «ҚТЖ» (Казахстан)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0F2A3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ОАО «РЖД» (Россия)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Статус функции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Независимая комплаенс-служба, подотчётна совету директоров (закон)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Центр по организации противодействия коррупции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Координация группы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Служба комплаенс АО «Самрук-Қазына»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ЦОПК координирует филиалы и дочерние общества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Стандарты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ISO 37001:2025 и ISO 37301:2021 в политике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Антикоррупционная политика, Кодекс деловой этики, оценка РСПП по ISO 37001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ESG-оценка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S&amp;P Global CSA: 60/100 (2024)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«Эксперт РА»: ESG-II(b) (2024)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Сообщения о нарушениях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Горячая линия, Политика конфиденциального информирования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Круглосуточная горячая линия, в том числе анонимно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Обучение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Информирование, обучение и тестирование работников</w:t>
            </w:r>
          </w:p>
        </w:tc>
        <w:tc>
          <w:tcPr>
            <w:tcW w:type="dxa" w:w="358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Обязательно при приёме, повтор раз в три года</w:t>
            </w:r>
          </w:p>
        </w:tc>
      </w:tr>
    </w:tbl>
    <w:p>
      <w:pPr>
        <w:spacing w:after="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Казахстане модель задана законом и корпоративным центром, что обеспечивает единые требования и независимость службы. В России модель в большей степени опирается на внутренние документы компании, национальные рейтинги и рекомендации регуляторов.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8. Задачи комплаенса по блокам ESG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экологическом блоке комплаенс-служба контролирует соблюдение экологических требований, достоверность климатических данных в отчётности (защита от гринвошинга) и включение экологических условий в требования к поставщикам. В социальном блоке она отвечает за контроль соблюдения требований охраны труда и прав работников, недискриминацию и этику, а также за защиту заявителей о нарушениях. В блоке корпоративного управления это ядро её работы: противодействие коррупции и конфликту интересов, проверка контрагентов и санкционный комплаенс, раскрытие информации совету директоров.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9. Контрагенты: ESG в цепочке поставок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контрагентов является самым естественным мостом между антикоррупционным комплаенсом и ESG. Политика КТЖ уже предусматривает проверку деловой репутации, отсутствия конфликта интересов, признаков лжепредпринимательства, налоговой задолженности и источника денежных средств, а также включение антикоррупционной оговорки и информирование партнёров о требованиях политики. РЖД также включает оговорку с правом расторжения договора. Следующим этапом логично добавить в ту же процедуру ESG-критерии: соблюдение требований охраны труда, экологических норм и прав работников у поставщика.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10. Метрики комплаенса в ESG-отчёте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blHeader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0F2A3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Показатель GRI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0F2A3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Что предоставляет комплаенс-служба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2-26 Механизмы обращения за советом и сообщения о нарушениях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Число обращений, сроки рассмотрения, доля подтверждённых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2-27 Соблюдение законодательства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Существенные нарушения и штрафы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205-1 Подразделения, прошедшие оценку коррупционных рисков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Доля подразделений, охваченных оценкой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205-2 Информирование и обучение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Охват обучением работников, ознакомление контрагентов с политикой</w:t>
            </w:r>
          </w:p>
        </w:tc>
      </w:tr>
      <w:tr>
        <w:trPr>
          <w:tblHeader w:val="false"/>
        </w:trPr>
        <w:tc>
          <w:tcPr>
            <w:tcW w:type="dxa" w:w="420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shd w:fill="EEF1E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3262F"/>
                <w:sz w:val="20"/>
                <w:szCs w:val="20"/>
              </w:rPr>
              <w:t xml:space="preserve">205-3 Подтверждённые случаи коррупции</w:t>
            </w:r>
          </w:p>
        </w:tc>
        <w:tc>
          <w:tcPr>
            <w:tcW w:type="dxa" w:w="5160"/>
            <w:tcBorders>
              <w:top w:val="single" w:color="C7D0CC" w:sz="4"/>
              <w:left w:val="single" w:color="C7D0CC" w:sz="4"/>
              <w:bottom w:val="single" w:color="C7D0CC" w:sz="4"/>
              <w:right w:val="single" w:color="C7D0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3262F"/>
                <w:sz w:val="20"/>
                <w:szCs w:val="20"/>
              </w:rPr>
              <w:t xml:space="preserve">Случаи, дисциплинарные меры, расторгнутые договоры</w:t>
            </w:r>
          </w:p>
        </w:tc>
      </w:tr>
    </w:tbl>
    <w:p>
      <w:pPr>
        <w:spacing w:after="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полезно раскрывать внутренние показатели: долю проверенных контрагентов, долю договоров с антикоррупционной оговоркой, число деклараций о конфликте интересов.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11. Вызовы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вызов — формальный комплаенс «для рейтинга», когда документы есть, а процедуры не работают; рейтинги всё чаще оценивают результаты, а не наличие политик. Второй — недостоверные ESG-данные: комплаенс должен участвовать в проверке раскрываемых показателей. Третий — конфликт интересов в закупках и инвестиционных проектах, главная зона риска отрасли. Четвёртый — реальная независимость службы: в Казахстане она закреплена законом, но должна обеспечиваться полномочиями и ресурсами. Пятый — изменение рейтинговой среды: в 2021 году РЖД оценивали MSCI, Sustainalytics и ISS ESG, а в 2024 году ключевые оценки дали российские агентства. Шестой — доверие к горячей линии: без защиты заявителей канал молчит, и риски остаются невидимыми.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12. Дорожная карта для комплаенс-службы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Встроить комплаенс в систему управления ESG: участие в комитете по устойчивому развитию и регулярный отчёт совету директоров.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Расширить карту рисков: к коррупционным рискам добавить экологические, трудовые и санкционные.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Дополнить проверку контрагентов ESG-критериями в рамках существующей процедуры due diligence.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Объединить каналы сообщений по коррупции, этике, дискриминации и охране труда, гарантировать защиту заявителей.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Собирать метрики по GRI 205 и GRI 2-26 с независимой проверкой данных.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Arial" w:cs="Arial" w:eastAsia="Arial" w:hAnsi="Arial"/>
          <w:sz w:val="24"/>
          <w:szCs w:val="24"/>
        </w:rPr>
        <w:t xml:space="preserve">Обучать адресно: вводный курс для всех работников, отдельные программы для руководителей и специалистов по закупкам.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Выводы</w:t>
      </w:r>
    </w:p>
    <w:p>
      <w:pPr>
        <w:spacing w:after="140" w:line="3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Комплаенс-служба является владельцем большей части ESG-показателей блока G и каналов сообщений блока S. АО «НК «ҚТЖ» и ОАО «РЖД» уже располагают зрелой антикоррупционной базой и демонстрируют рост ESG-оценок. Следующий шаг для обеих компаний — расширить проверку контрагентов, карту рисков и систему метрик до полного ESG-охвата.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  <w:b/>
          <w:bCs/>
          <w:color w:val="0F2A36"/>
          <w:sz w:val="30"/>
          <w:szCs w:val="30"/>
        </w:rPr>
        <w:t xml:space="preserve">Источники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Политика противодействия коррупции АО «НК «ҚТЖ» и его дочерних организаций, ред. от 23.10.2025.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«Самрук-Қазына». Годовой отчёт 2023: Рейтинги ESG и климатические рейтинги. https://ar2023.sk.kz/ru/esg-and-climate-ratings.html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«Самрук-Қазына». Годовой отчёт 2024: Рейтинги ESG; Служба комплаенс. https://sk.kz/ar2024/ru/esg-and-climate-ratings.html; https://sk.kz/ar2024/ru/compliance-service.html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«НК «ҚТЖ»: профиль компании. https://ipo.sk.kz/companies/ktz/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PwC Казахстан. ТОП-50 лучших компаний по раскрытию ESG-информации. https://www.pwc.com/kz/en/publications/esg/esg-top-50-december-2024-rus-final.pdf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Закон Республики Казахстан «О противодействии коррупции» от 18.11.2015 № 410-V, ст. 16.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АО «Самрук-Қазына». Концепция низкоуглеродного развития, 2022.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«Эксперт РА». Рейтинг ESG ОАО «РЖД» на уровне ESG-II(b), 27.12.2024. https://raexpert.ru/releases/2024/dec27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ОАО «РЖД». Отчёт об устойчивом развитии за 2024 год: горячая линия; управление коррупционными рисками. https://sr2024.rzd.ru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ОАО «РЖД». Отчёт об устойчивом развитии за 2023 год: формирование нетерпимости к коррупции. https://sr2023.rzd.ru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ОАО «РЖД». Отчёт об устойчивом развитии за 2021 год: ESG-рейтинги. https://sr2021.rzd.ru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Приказ Минэкономразвития России от 01.11.2023 № 764; распоряжение Правительства РФ № 876-р; информационное письмо Банка России № ИН-06-28/49.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GRI 2: General Disclosures 2021; GRI 205: Anti-corruption 2016.</w:t>
      </w:r>
    </w:p>
    <w:sectPr>
      <w:footerReference w:type="default" r:id="rId7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656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2026-09-30T04:54:39.901Z</dcterms:created>
  <dcterms:modified xsi:type="dcterms:W3CDTF">2026-09-30T04:54:39.907Z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