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0F2A36"/>
          <w:sz w:val="44"/>
          <w:szCs w:val="44"/>
        </w:rPr>
        <w:t xml:space="preserve">Комплаенс қызметінің жұмысындағы ESG</w:t>
      </w:r>
    </w:p>
    <w:p>
      <w:pPr>
        <w:spacing w:after="120"/>
      </w:pPr>
      <w:r>
        <w:rPr>
          <w:rFonts w:ascii="Arial" w:cs="Arial" w:eastAsia="Arial" w:hAnsi="Arial"/>
          <w:color w:val="2F6E8E"/>
          <w:sz w:val="28"/>
          <w:szCs w:val="28"/>
        </w:rPr>
        <w:t xml:space="preserve">Қазақстанның темір жол компанияларының тәжірибесі: «Қазақстан темір жолы» ҰК» АҚ тобы</w:t>
      </w:r>
    </w:p>
    <w:p>
      <w:pPr>
        <w:pBdr>
          <w:bottom w:val="single" w:color="E0A11B" w:sz="12" w:space="8"/>
        </w:pBdr>
        <w:spacing w:after="360"/>
      </w:pPr>
      <w:r>
        <w:rPr>
          <w:rFonts w:ascii="Arial" w:cs="Arial" w:eastAsia="Arial" w:hAnsi="Arial"/>
          <w:color w:val="55656E"/>
          <w:sz w:val="22"/>
          <w:szCs w:val="22"/>
        </w:rPr>
        <w:t xml:space="preserve">Баяндама. [Баяндамашының аты-жөні], [іс-шара, күні]</w:t>
      </w:r>
    </w:p>
    <w:p>
      <w:pPr>
        <w:pStyle w:val="Heading1"/>
        <w:spacing w:after="160" w:before="360"/>
      </w:pPr>
      <w:r>
        <w:rPr>
          <w:rFonts w:ascii="Arial" w:cs="Arial" w:eastAsia="Arial" w:hAnsi="Arial"/>
          <w:b/>
          <w:bCs/>
          <w:color w:val="0F2A36"/>
          <w:sz w:val="30"/>
          <w:szCs w:val="30"/>
        </w:rPr>
        <w:t xml:space="preserve">1. Неліктен ESG комплаенске қатысты</w:t>
      </w:r>
    </w:p>
    <w:p>
      <w:pPr>
        <w:spacing w:after="140" w:line="320"/>
        <w:jc w:val="both"/>
      </w:pPr>
      <w:r>
        <w:rPr>
          <w:rFonts w:ascii="Arial" w:cs="Arial" w:eastAsia="Arial" w:hAnsi="Arial"/>
          <w:sz w:val="24"/>
          <w:szCs w:val="24"/>
        </w:rPr>
        <w:t xml:space="preserve">ESG қағидаттары (экология, қоғам, корпоративтік басқару) көбіне тұрақты даму немесе экология бөлімшелерінің міндеті ретінде қабылданады. Алайда G блогы түгелге жуық комплаенс қызметі күн сайын айналысатын істерден тұрады: сыбайлас жемқорлыққа қарсы іс-қимыл, мүдделер қақтығысын басқару, іскерлік әдеп, бұзушылықтар туралы хабарламалармен жұмыс, контрагенттерді тексеру. S блогының едәуір бөлігі, ең алдымен хабарлау арналары мен хабарлаушыларды қорғау, сондай-ақ комплаенстің жауапкершілік аймағында.</w:t>
      </w:r>
    </w:p>
    <w:p>
      <w:pPr>
        <w:spacing w:after="140" w:line="320"/>
        <w:jc w:val="both"/>
      </w:pPr>
      <w:r>
        <w:rPr>
          <w:rFonts w:ascii="Arial" w:cs="Arial" w:eastAsia="Arial" w:hAnsi="Arial"/>
          <w:sz w:val="24"/>
          <w:szCs w:val="24"/>
        </w:rPr>
        <w:t xml:space="preserve">Бұған үш сыртқы фактор нұсқайды. Біріншіден, ESG-рейтингтік агенттіктер (S&amp;P Global, Moody's және басқалары) сыбайлас жемқорлыққа қарсы саясаттардың, жедел желілердің болуын және жұмысын, сондай-ақ расталған бұзушылықтар санын бағалайды. Екіншіден, ұлттық темір жол компаниясының жалғыз акционері «Самұрық-Қазына» АҚ портфельдік компаниялардан ESG-ақпаратты ашуды және жұмыс істейтін комплаенс-бағдарламаларды күтеді. Үшіншіден, есептілік стандарттары, ең алдымен GRI 205 «Сыбайлас жемқорлыққа қарсы іс-қимыл» және GRI 2-26 «Кеңес алу және бұзушылықтар туралы хабарлау тетіктері», дәл комплаенс қызметі жинайтын көрсеткіштерді талап етеді.</w:t>
      </w:r>
    </w:p>
    <w:p>
      <w:pPr>
        <w:pStyle w:val="Heading1"/>
        <w:spacing w:after="160" w:before="360"/>
      </w:pPr>
      <w:r>
        <w:rPr>
          <w:rFonts w:ascii="Arial" w:cs="Arial" w:eastAsia="Arial" w:hAnsi="Arial"/>
          <w:b/>
          <w:bCs/>
          <w:color w:val="0F2A36"/>
          <w:sz w:val="30"/>
          <w:szCs w:val="30"/>
        </w:rPr>
        <w:t xml:space="preserve">2. Қазақстанның темір жол саласының ерекшеліктері</w:t>
      </w:r>
    </w:p>
    <w:p>
      <w:pPr>
        <w:spacing w:after="140" w:line="320"/>
        <w:jc w:val="both"/>
      </w:pPr>
      <w:r>
        <w:rPr>
          <w:rFonts w:ascii="Arial" w:cs="Arial" w:eastAsia="Arial" w:hAnsi="Arial"/>
          <w:sz w:val="24"/>
          <w:szCs w:val="24"/>
        </w:rPr>
        <w:t xml:space="preserve">Темір жолда ESG-тәуекелдерді орташадан жоғары ететін бірнеше фактор тоғысады. Ауқымды сатып алулар мен инвестициялық бағдарламалар тапсырыс беруші тарапында сыбайлас жемқорлық пен мүдделер қақтығысының жоғары тәуекелін тудырады. Ұлттық тасымалдаушы және магистральдық желі операторы Ұлттық әл-ауқат қорының тобына кіреді, яғни ашықтыққа жоғары талаптар қойылатын квазимемлекеттік секторға жатады.</w:t>
      </w:r>
    </w:p>
    <w:p>
      <w:pPr>
        <w:spacing w:after="140" w:line="320"/>
        <w:jc w:val="both"/>
      </w:pPr>
      <w:r>
        <w:rPr>
          <w:rFonts w:ascii="Arial" w:cs="Arial" w:eastAsia="Arial" w:hAnsi="Arial"/>
          <w:sz w:val="24"/>
          <w:szCs w:val="24"/>
        </w:rPr>
        <w:t xml:space="preserve">ҚТЖ — елдегі ең ірі жұмыс берушілердің бірі, ал темір жол — қауіпті өндіріс, сондықтан еңбекті қорғау мен қозғалыс қауіпсіздігі әлеуметтік күн тәртібінің бөлігіне айналады. Саланың экологиялық ізі тепловоздар мен қазандықтарды пайдаланумен және қалдықтардың түзілуімен байланысты, бұл климаттық есептіліктің анық болмау тәуекелін тудырады. Транзиттік дәліздерді дамыту санкциялық және экспорттық шектеулерді ескере отырып шетелдік контрагенттерді тексеруді талап етеді, ал магистральдық желіні басқару инфрақұрылымға қолжетімділік пен тарифтер мәселелерінде монополияға қарсы комплаенсті қажет етеді.</w:t>
      </w:r>
    </w:p>
    <w:p>
      <w:pPr>
        <w:pStyle w:val="Heading1"/>
        <w:spacing w:after="160" w:before="360"/>
      </w:pPr>
      <w:r>
        <w:rPr>
          <w:rFonts w:ascii="Arial" w:cs="Arial" w:eastAsia="Arial" w:hAnsi="Arial"/>
          <w:b/>
          <w:bCs/>
          <w:color w:val="0F2A36"/>
          <w:sz w:val="30"/>
          <w:szCs w:val="30"/>
        </w:rPr>
        <w:t xml:space="preserve">3. Сыбайлас жемқорлыққа қарсы негіз</w:t>
      </w:r>
    </w:p>
    <w:p>
      <w:pPr>
        <w:spacing w:after="140" w:line="320"/>
        <w:jc w:val="both"/>
      </w:pPr>
      <w:r>
        <w:rPr>
          <w:rFonts w:ascii="Arial" w:cs="Arial" w:eastAsia="Arial" w:hAnsi="Arial"/>
          <w:sz w:val="24"/>
          <w:szCs w:val="24"/>
        </w:rPr>
        <w:t xml:space="preserve">Негізгі норма «Сыбайлас жемқорлыққа қарсы іс-қимыл туралы» Қазақстан Республикасы Заңының 16-бабының 3-тармағында бекітілген. Квазимемлекеттік сектор субъектілерінде сыбайлас жемқорлыққа қарсы комплаенс қызметінің функцияларын атқаратын құрылымдық бөлімше немесе жауапты тұлға айқындалады; бұл ретте жауапты тұлға ықтимал мүдделер қақтығысы ескеріле отырып айқындалады. Қызмет өз өкілеттіктерін атқарушы органнан және лауазымды тұлғалардан тәуелсіз жүзеге асырады, директорлар кеңесіне (байқау кеңесіне) есеп береді және сыбайлас жемқорлыққа қарсы заңнаманың сақталуын қамтамасыз етуде тәуелсіз болады. Қызметтің құзыреті мен жұмыс тәртібі Сыбайлас жемқорлыққа қарсы комплаенс қызметтері туралы үлгілік ереже негізінде ішкі актімен айқындалады.</w:t>
      </w:r>
    </w:p>
    <w:p>
      <w:pPr>
        <w:spacing w:after="140" w:line="320"/>
        <w:jc w:val="both"/>
      </w:pPr>
      <w:r>
        <w:rPr>
          <w:rFonts w:ascii="Arial" w:cs="Arial" w:eastAsia="Arial" w:hAnsi="Arial"/>
          <w:sz w:val="24"/>
          <w:szCs w:val="24"/>
        </w:rPr>
        <w:t xml:space="preserve">Квазимемлекеттік секторға жатпайтын кәсіпкерлік субъектілері, оның ішінде жеке тасымалдаушылар мен жылжымалы құрам операторлары комплаенс қызметтерін ерікті түрде құруға құқылы. Іс жүзінде бұл барған сайын ірі тапсырыс берушілер мен серіктестердің талабына айналуда. Осы саладағы мемлекеттік басымдықтарды Қазақстан Республикасының 2022–2026 жылдарға арналған сыбайлас жемқорлыққа қарсы саясат тұжырымдамасы айқындайды.</w:t>
      </w:r>
    </w:p>
    <w:p>
      <w:pPr>
        <w:pStyle w:val="Heading1"/>
        <w:spacing w:after="160" w:before="360"/>
      </w:pPr>
      <w:r>
        <w:rPr>
          <w:rFonts w:ascii="Arial" w:cs="Arial" w:eastAsia="Arial" w:hAnsi="Arial"/>
          <w:b/>
          <w:bCs/>
          <w:color w:val="0F2A36"/>
          <w:sz w:val="30"/>
          <w:szCs w:val="30"/>
        </w:rPr>
        <w:t xml:space="preserve">4. ESG-негіз</w:t>
      </w:r>
    </w:p>
    <w:p>
      <w:pPr>
        <w:spacing w:after="140" w:line="320"/>
        <w:jc w:val="both"/>
      </w:pPr>
      <w:r>
        <w:rPr>
          <w:rFonts w:ascii="Arial" w:cs="Arial" w:eastAsia="Arial" w:hAnsi="Arial"/>
          <w:sz w:val="24"/>
          <w:szCs w:val="24"/>
        </w:rPr>
        <w:t xml:space="preserve">Климаттық күн тәртібін Қазақстан Республикасының 2060 жылға дейін көміртегі бейтараптығына қол жеткізу стратегиясы белгілейді, ол көлікті декарбонизациялаудың бағдары болып табылады. 2021 жылғы Экология кодексі шығарындыларға және қалдықтармен жұмыс істеуге қойылатын талаптарды белгілейді, ал жасыл жобалардың сыныптамасы (таксономиясы) жасыл қаржыландыру критерийлерін айқындайды.</w:t>
      </w:r>
    </w:p>
    <w:p>
      <w:pPr>
        <w:spacing w:after="140" w:line="320"/>
        <w:jc w:val="both"/>
      </w:pPr>
      <w:r>
        <w:rPr>
          <w:rFonts w:ascii="Arial" w:cs="Arial" w:eastAsia="Arial" w:hAnsi="Arial"/>
          <w:sz w:val="24"/>
          <w:szCs w:val="24"/>
        </w:rPr>
        <w:t xml:space="preserve">Қор тобы деңгейінде «Самұрық-Қазына» АҚ-тың Төмен көміртекті даму тұжырымдамасы (2022) қолданылады, ал Қор портфельдік компаниялардың ESG және климаттық рейтингтерін тұрақты түрде ашып, оларды басқарушылық шешімдер қабылдау үшін пайдаланады. Комплаенс үшін маңыздысы: осы құжаттардың әрқайсысы міндеттемелер туғызады, олардың орындалуын бақылап, дұрыс ашу қажет.</w:t>
      </w:r>
    </w:p>
    <w:p>
      <w:pPr>
        <w:pStyle w:val="Heading1"/>
        <w:spacing w:after="160" w:before="360"/>
      </w:pPr>
      <w:r>
        <w:rPr>
          <w:rFonts w:ascii="Arial" w:cs="Arial" w:eastAsia="Arial" w:hAnsi="Arial"/>
          <w:b/>
          <w:bCs/>
          <w:color w:val="0F2A36"/>
          <w:sz w:val="30"/>
          <w:szCs w:val="30"/>
        </w:rPr>
        <w:t xml:space="preserve">5. Корпоративтік орталық: «Самұрық-Қазына» АҚ</w:t>
      </w:r>
    </w:p>
    <w:p>
      <w:pPr>
        <w:spacing w:after="140" w:line="320"/>
        <w:jc w:val="both"/>
      </w:pPr>
      <w:r>
        <w:rPr>
          <w:rFonts w:ascii="Arial" w:cs="Arial" w:eastAsia="Arial" w:hAnsi="Arial"/>
          <w:sz w:val="24"/>
          <w:szCs w:val="24"/>
        </w:rPr>
        <w:t xml:space="preserve">Қордың комплаенс қызметі сыбайлас жемқорлыққа қарсы заңнаманың сақталуын қамтамасыз етеді, комплаенс-бағдарламаны дамытады және портфельдік компаниялардың комплаенс қызметтерінің жұмысын үйлестіреді. Оның функцияларына коммуникациялар мен оқыту, жедел желіні сүйемелдеу, тексерулер мен тергеулер, үшінші тараптармен өзара іс-қимыл, мүдделер қақтығысын анықтау және реттеу кіреді. Қордың жедел желісіне тәуелсіз оператор қызмет көрсетеді, ол өтініштерді қазақ, орыс және ағылшын тілдерінде, оның ішінде анонимді түрде қабылдайды.</w:t>
      </w:r>
    </w:p>
    <w:p>
      <w:pPr>
        <w:spacing w:after="140" w:line="320"/>
        <w:jc w:val="both"/>
      </w:pPr>
      <w:r>
        <w:rPr>
          <w:rFonts w:ascii="Arial" w:cs="Arial" w:eastAsia="Arial" w:hAnsi="Arial"/>
          <w:sz w:val="24"/>
          <w:szCs w:val="24"/>
        </w:rPr>
        <w:t xml:space="preserve">2024 жылы Қор E-Compliance жүйесін пайдалануға енгізді, ол жедел желі өтініштерін қарауды және контрагенттерді тексеруді автоматтандырады, оның ішінде топтың барлық компаниялары үшін бірыңғай интерфейс арқылы мемлекеттік базалардағы мәліметтерге қол жеткізуді, тәуекел деңгейін анықтауды және үлгілік қорытындылар қалыптастыруды қамтиды. Сол жылы «Іскерлік әдеп және корпоративтік комплаенс жүйесіндегі жоғары менеджменттің рөлі» онлайн-курсы мен топтың комплаенс қызметтерінің қызметкерлеріне арналған «Комплаенс Эксперт» бағдарламасы іске қосылды.</w:t>
      </w:r>
    </w:p>
    <w:p>
      <w:pPr>
        <w:pStyle w:val="Heading1"/>
        <w:spacing w:after="160" w:before="360"/>
      </w:pPr>
      <w:r>
        <w:rPr>
          <w:rFonts w:ascii="Arial" w:cs="Arial" w:eastAsia="Arial" w:hAnsi="Arial"/>
          <w:b/>
          <w:bCs/>
          <w:color w:val="0F2A36"/>
          <w:sz w:val="30"/>
          <w:szCs w:val="30"/>
        </w:rPr>
        <w:t xml:space="preserve">6. ҚТЖ тобындағы комплаенс</w:t>
      </w:r>
    </w:p>
    <w:p>
      <w:pPr>
        <w:spacing w:after="140" w:line="320"/>
        <w:jc w:val="both"/>
      </w:pPr>
      <w:r>
        <w:rPr>
          <w:rFonts w:ascii="Arial" w:cs="Arial" w:eastAsia="Arial" w:hAnsi="Arial"/>
          <w:sz w:val="24"/>
          <w:szCs w:val="24"/>
        </w:rPr>
        <w:t xml:space="preserve">«ҚТЖ» ҰК» АҚ-та директорлар кеңесіне тікелей бағынатын және оның алдында есеп беретін Комплаенс қызметі жұмыс істейді. Жедел желі жұмысы туралы есеп ай сайын «Самұрық-Қазына» АҚ-қа жіберіледі және тоқсан сайын компанияның директорлар кеңесінде қаралады. Қызмет жаңа қызметкерлер үшін мүдделер қақтығысының бар-жоғы туралы декларацияны және сыбайлас жемқорлыққа қарсы заңнаманы білуге арналған тест сұрақтарын әзірледі.</w:t>
      </w:r>
    </w:p>
    <w:p>
      <w:pPr>
        <w:spacing w:after="140" w:line="320"/>
        <w:jc w:val="both"/>
      </w:pPr>
      <w:r>
        <w:rPr>
          <w:rFonts w:ascii="Arial" w:cs="Arial" w:eastAsia="Arial" w:hAnsi="Arial"/>
          <w:sz w:val="24"/>
          <w:szCs w:val="24"/>
        </w:rPr>
        <w:t xml:space="preserve">Дауыс беретін акцияларының 50%-дан астамы компанияға тиесілі еншілес ұйымдар Сыбайлас жемқорлыққа қарсы іс-қимыл саясатына толық көлемде қосылады немесе оның негізінде өз құжатын қабылдайды. Мысалы, «ҚТЖ – Жүк тасымалы» ЖШС-да Мінез-құлық кодексінің бұзылуы, оның ішінде сыбайлас жемқорлық, алаяқтық, әдепсіз мінез-құлық және кемсітушілік фактілері туралы хабарлауға арналған өз жедел желісі бар. 2025 жылғы саясат рөлдерді нақты бөледі: саясатты процестерге енгізуге бөлімше басшылары, процесс иелері жауап береді, ал Комплаенс қызметі әдіснамалық қолдау мен қадағалауға жауап береді.</w:t>
      </w:r>
    </w:p>
    <w:p>
      <w:pPr>
        <w:pStyle w:val="Heading1"/>
        <w:spacing w:after="160" w:before="360"/>
      </w:pPr>
      <w:r>
        <w:rPr>
          <w:rFonts w:ascii="Arial" w:cs="Arial" w:eastAsia="Arial" w:hAnsi="Arial"/>
          <w:b/>
          <w:bCs/>
          <w:color w:val="0F2A36"/>
          <w:sz w:val="30"/>
          <w:szCs w:val="30"/>
        </w:rPr>
        <w:t xml:space="preserve">7. ESG-бағалаудағы ҚТЖ нәтижелері</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tblHeader/>
        </w:trPr>
        <w:tc>
          <w:tcPr>
            <w:tcW w:type="dxa" w:w="360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Бағалау</w:t>
            </w:r>
          </w:p>
        </w:tc>
        <w:tc>
          <w:tcPr>
            <w:tcW w:type="dxa" w:w="576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Нәтиже</w:t>
            </w:r>
          </w:p>
        </w:tc>
      </w:tr>
      <w:tr>
        <w:trPr>
          <w:tblHeader w:val="false"/>
        </w:trPr>
        <w:tc>
          <w:tcPr>
            <w:tcW w:type="dxa" w:w="3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S&amp;P Global Corporate Sustainability Assessment</w:t>
            </w:r>
          </w:p>
        </w:tc>
        <w:tc>
          <w:tcPr>
            <w:tcW w:type="dxa" w:w="57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54/100 (2023) → 60/100 (2024), Қордың бағаланған портфельдік компаниялары арасындағы ең жоғары нәтиже</w:t>
            </w:r>
          </w:p>
        </w:tc>
      </w:tr>
      <w:tr>
        <w:trPr>
          <w:tblHeader w:val="false"/>
        </w:trPr>
        <w:tc>
          <w:tcPr>
            <w:tcW w:type="dxa" w:w="3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Moody's ESG Solutions (2022)</w:t>
            </w:r>
          </w:p>
        </w:tc>
        <w:tc>
          <w:tcPr>
            <w:tcW w:type="dxa" w:w="57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Бағаланған компаниялардың үздік 25%-ына кіру</w:t>
            </w:r>
          </w:p>
        </w:tc>
      </w:tr>
      <w:tr>
        <w:trPr>
          <w:tblHeader w:val="false"/>
        </w:trPr>
        <w:tc>
          <w:tcPr>
            <w:tcW w:type="dxa" w:w="3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PwC Қазақстан, ESG-ақпаратты ашу</w:t>
            </w:r>
          </w:p>
        </w:tc>
        <w:tc>
          <w:tcPr>
            <w:tcW w:type="dxa" w:w="57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Рейтингтің алғашқы ондығы</w:t>
            </w:r>
          </w:p>
        </w:tc>
      </w:tr>
      <w:tr>
        <w:trPr>
          <w:tblHeader w:val="false"/>
        </w:trPr>
        <w:tc>
          <w:tcPr>
            <w:tcW w:type="dxa" w:w="36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Корпоративтік басқару рейтингі</w:t>
            </w:r>
          </w:p>
        </w:tc>
        <w:tc>
          <w:tcPr>
            <w:tcW w:type="dxa" w:w="57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Тәуелсіз диагностика қорытындысы бойынша «BB»</w:t>
            </w:r>
          </w:p>
        </w:tc>
      </w:tr>
    </w:tbl>
    <w:p>
      <w:pPr>
        <w:spacing w:after="80"/>
        <w:jc w:val="both"/>
      </w:pPr>
      <w:r>
        <w:rPr>
          <w:rFonts w:ascii="Arial" w:cs="Arial" w:eastAsia="Arial" w:hAnsi="Arial"/>
          <w:sz w:val="24"/>
          <w:szCs w:val="24"/>
        </w:rPr>
        <w:t xml:space="preserve"/>
      </w:r>
    </w:p>
    <w:p>
      <w:pPr>
        <w:spacing w:after="140" w:line="320"/>
        <w:jc w:val="both"/>
      </w:pPr>
      <w:r>
        <w:rPr>
          <w:rFonts w:ascii="Arial" w:cs="Arial" w:eastAsia="Arial" w:hAnsi="Arial"/>
          <w:sz w:val="24"/>
          <w:szCs w:val="24"/>
        </w:rPr>
        <w:t xml:space="preserve">ESG-факторлар ҚТЖ-ның 2029 жылға дейінгі Даму стратегиясында тұрақты дамуды қамтамасыз ету жөніндегі стратегиялық мақсат аясында, оның ішінде экологиялық тұрақтылық пен корпоративтік басқаруды жетілдіруді қоса алғанда көзделген. Агенттіктер бағалау кезінде сыбайлас жемқорлыққа қарсы саясатты, жедел желіні, оқытуды, тәуекелдерді басқаруды және деректерді ашуды, яғни дәл комплаенс жауап беретін салаларды қарайды.</w:t>
      </w:r>
    </w:p>
    <w:p>
      <w:pPr>
        <w:pStyle w:val="Heading1"/>
        <w:spacing w:after="160" w:before="360"/>
      </w:pPr>
      <w:r>
        <w:rPr>
          <w:rFonts w:ascii="Arial" w:cs="Arial" w:eastAsia="Arial" w:hAnsi="Arial"/>
          <w:b/>
          <w:bCs/>
          <w:color w:val="0F2A36"/>
          <w:sz w:val="30"/>
          <w:szCs w:val="30"/>
        </w:rPr>
        <w:t xml:space="preserve">8. 2025 жылғы Сыбайлас жемқорлыққа қарсы іс-қимыл саясаты</w:t>
      </w:r>
    </w:p>
    <w:p>
      <w:pPr>
        <w:spacing w:after="140" w:line="320"/>
        <w:jc w:val="both"/>
      </w:pPr>
      <w:r>
        <w:rPr>
          <w:rFonts w:ascii="Arial" w:cs="Arial" w:eastAsia="Arial" w:hAnsi="Arial"/>
          <w:sz w:val="24"/>
          <w:szCs w:val="24"/>
        </w:rPr>
        <w:t xml:space="preserve">«ҚТЖ» ҰК» АҚ және оның еншілес ұйымдарының 23.10.2025 ж. редакциясындағы Сыбайлас жемқорлыққа қарсы іс-қимыл саясаты ISO 37001:2025 «Парақорлыққа қарсы менеджмент жүйелері» және ISO 37301:2021 «Сәйкестікті басқару жүйелері» ескеріле отырып әзірленген. Ол мүлдем төзбеушілік қағидатын және кез келген сыбайлас жемқорлық схемасына тәуекелге төзімділіктің нөлдік деңгейін белгілейді, сондай-ақ сыбайлас жемқорлық тәуекелінің он екі саласын айқындайды: үшінші тұлғаларды тарту мен сыйлықтардан бастап бұзушылықтар туралы хабарлау мен ішкі тергеулерге дейін.</w:t>
      </w:r>
    </w:p>
    <w:p>
      <w:pPr>
        <w:spacing w:after="140" w:line="320"/>
        <w:jc w:val="both"/>
      </w:pPr>
      <w:r>
        <w:rPr>
          <w:rFonts w:ascii="Arial" w:cs="Arial" w:eastAsia="Arial" w:hAnsi="Arial"/>
          <w:sz w:val="24"/>
          <w:szCs w:val="24"/>
        </w:rPr>
        <w:t xml:space="preserve">ESG күн тәртібі үшін саясаттың үш блогы ерекше маңызды. Біріншісі — мүдделер қақтығысын басқару: басшыны немесе Комплаенс қызметін жазбаша хабардар ету, туыстардың бағыныстылығына тыйым салу, кандидаттардың декларациялары. Екіншісі — үшінші тұлғалармен жұмыс: іскерлік беделді, мүдделер қақтығысын, жалған кәсіпкерлік белгілерін және қаражат көзін тексеру, шарттардағы антикоррупциялық ескертпе. Үшіншісі — хабарламалар мен тергеулер: жедел желі, әр хабарламаны тексеру және қылмыстық әрекет белгілері болған кезде материалдарды уәкілетті органдарға беру.</w:t>
      </w:r>
    </w:p>
    <w:p>
      <w:pPr>
        <w:pStyle w:val="Heading1"/>
        <w:spacing w:after="160" w:before="360"/>
      </w:pPr>
      <w:r>
        <w:rPr>
          <w:rFonts w:ascii="Arial" w:cs="Arial" w:eastAsia="Arial" w:hAnsi="Arial"/>
          <w:b/>
          <w:bCs/>
          <w:color w:val="0F2A36"/>
          <w:sz w:val="30"/>
          <w:szCs w:val="30"/>
        </w:rPr>
        <w:t xml:space="preserve">9. ESG блоктары бойынша комплаенс міндеттері</w:t>
      </w:r>
    </w:p>
    <w:p>
      <w:pPr>
        <w:spacing w:after="140" w:line="320"/>
        <w:jc w:val="both"/>
      </w:pPr>
      <w:r>
        <w:rPr>
          <w:rFonts w:ascii="Arial" w:cs="Arial" w:eastAsia="Arial" w:hAnsi="Arial"/>
          <w:sz w:val="24"/>
          <w:szCs w:val="24"/>
        </w:rPr>
        <w:t xml:space="preserve">Экологиялық блокта комплаенс қызметі Экология кодексі талаптарының сақталуын, есептіліктегі климаттық деректердің дұрыстығын (гринвошингтен қорғау) және экологиялық шарттардың жеткізушілерге қойылатын талаптарға енгізілуін бақылайды. Әлеуметтік блокта ол еңбекті қорғау талаптары мен қызметкерлер құқықтарының сақталуын бақылауға, кемсітпеушілік пен әдепке, сондай-ақ бұзушылықтар туралы хабарлаушыларды қорғауға жауап береді. Корпоративтік басқару блогында бұл оның жұмысының өзегі: сыбайлас жемқорлыққа және мүдделер қақтығысына қарсы іс-қимыл, контрагенттерді тексеру және санкциялық комплаенс, директорлар кеңесіне есеп беру.</w:t>
      </w:r>
    </w:p>
    <w:p>
      <w:pPr>
        <w:pStyle w:val="Heading1"/>
        <w:spacing w:after="160" w:before="360"/>
      </w:pPr>
      <w:r>
        <w:rPr>
          <w:rFonts w:ascii="Arial" w:cs="Arial" w:eastAsia="Arial" w:hAnsi="Arial"/>
          <w:b/>
          <w:bCs/>
          <w:color w:val="0F2A36"/>
          <w:sz w:val="30"/>
          <w:szCs w:val="30"/>
        </w:rPr>
        <w:t xml:space="preserve">10. Контрагенттер: жеткізу тізбегіндегі ESG</w:t>
      </w:r>
    </w:p>
    <w:p>
      <w:pPr>
        <w:spacing w:after="140" w:line="320"/>
        <w:jc w:val="both"/>
      </w:pPr>
      <w:r>
        <w:rPr>
          <w:rFonts w:ascii="Arial" w:cs="Arial" w:eastAsia="Arial" w:hAnsi="Arial"/>
          <w:sz w:val="24"/>
          <w:szCs w:val="24"/>
        </w:rPr>
        <w:t xml:space="preserve">Контрагенттерді тексеру — сыбайлас жемқорлыққа қарсы комплаенс пен ESG арасындағы ең табиғи көпір. ҚТЖ саясаты ынтымақтастық басталғанға дейін контрагенттерді тексеруді, шартты бұзу құқығы бар антикоррупциялық ескертпені және серіктестерді саясат талаптары туралы хабардар етуді көздейді, ал Қордың E-Compliance жүйесі мұндай тексерулер үшін бірыңғай құрал береді. Келесі кезеңде сол рәсімге ESG-критерийлерді қосу қисынды: жеткізушінің еңбекті қорғау талаптарын, экологиялық нормаларды және қызметкерлер құқықтарын сақтауы.</w:t>
      </w:r>
    </w:p>
    <w:p>
      <w:pPr>
        <w:pStyle w:val="Heading1"/>
        <w:spacing w:after="160" w:before="360"/>
      </w:pPr>
      <w:r>
        <w:rPr>
          <w:rFonts w:ascii="Arial" w:cs="Arial" w:eastAsia="Arial" w:hAnsi="Arial"/>
          <w:b/>
          <w:bCs/>
          <w:color w:val="0F2A36"/>
          <w:sz w:val="30"/>
          <w:szCs w:val="30"/>
        </w:rPr>
        <w:t xml:space="preserve">11. ESG-есептегі комплаенс метрикалары</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5160"/>
      </w:tblGrid>
      <w:tr>
        <w:trPr>
          <w:tblHeader/>
        </w:trPr>
        <w:tc>
          <w:tcPr>
            <w:tcW w:type="dxa" w:w="420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GRI көрсеткіші</w:t>
            </w:r>
          </w:p>
        </w:tc>
        <w:tc>
          <w:tcPr>
            <w:tcW w:type="dxa" w:w="5160"/>
            <w:tcBorders>
              <w:top w:val="single" w:color="C7D0CC" w:sz="4"/>
              <w:left w:val="single" w:color="C7D0CC" w:sz="4"/>
              <w:bottom w:val="single" w:color="C7D0CC" w:sz="4"/>
              <w:right w:val="single" w:color="C7D0CC" w:sz="4"/>
            </w:tcBorders>
            <w:shd w:fill="0F2A36" w:color="auto" w:val="clear"/>
            <w:tcMar>
              <w:top w:type="dxa" w:w="80"/>
              <w:left w:type="dxa" w:w="120"/>
              <w:bottom w:type="dxa" w:w="80"/>
              <w:right w:type="dxa" w:w="120"/>
            </w:tcMar>
          </w:tcPr>
          <w:p>
            <w:r>
              <w:rPr>
                <w:rFonts w:ascii="Arial" w:cs="Arial" w:eastAsia="Arial" w:hAnsi="Arial"/>
                <w:b/>
                <w:bCs/>
                <w:color w:val="FFFFFF"/>
                <w:sz w:val="20"/>
                <w:szCs w:val="20"/>
              </w:rPr>
              <w:t xml:space="preserve">Комплаенс қызметі нені ұсынады</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2-26 Кеңес алу және бұзушылықтар туралы хабарлау тетіктері</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Өтініштер саны, қарау мерзімдері, расталғандарының үлесі</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2-27 Заңнаманы сақтау</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Елеулі бұзушылықтар мен айыппұлдар</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205-1 Сыбайлас жемқорлық тәуекелдерін бағалаудан өткен бөлімшелер</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Бағалаумен қамтылған бөлімшелердің үлесі</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205-2 Хабардар ету және оқыту</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Қызметкерлерді оқытумен қамту, контрагенттерді саясатпен таныстыру</w:t>
            </w:r>
          </w:p>
        </w:tc>
      </w:tr>
      <w:tr>
        <w:trPr>
          <w:tblHeader w:val="false"/>
        </w:trPr>
        <w:tc>
          <w:tcPr>
            <w:tcW w:type="dxa" w:w="4200"/>
            <w:tcBorders>
              <w:top w:val="single" w:color="C7D0CC" w:sz="4"/>
              <w:left w:val="single" w:color="C7D0CC" w:sz="4"/>
              <w:bottom w:val="single" w:color="C7D0CC" w:sz="4"/>
              <w:right w:val="single" w:color="C7D0CC" w:sz="4"/>
            </w:tcBorders>
            <w:shd w:fill="EEF1EF" w:color="auto" w:val="clear"/>
            <w:tcMar>
              <w:top w:type="dxa" w:w="80"/>
              <w:left w:type="dxa" w:w="120"/>
              <w:bottom w:type="dxa" w:w="80"/>
              <w:right w:type="dxa" w:w="120"/>
            </w:tcMar>
          </w:tcPr>
          <w:p>
            <w:r>
              <w:rPr>
                <w:rFonts w:ascii="Arial" w:cs="Arial" w:eastAsia="Arial" w:hAnsi="Arial"/>
                <w:b/>
                <w:bCs/>
                <w:color w:val="13262F"/>
                <w:sz w:val="20"/>
                <w:szCs w:val="20"/>
              </w:rPr>
              <w:t xml:space="preserve">205-3 Расталған сыбайлас жемқорлық жағдайлары</w:t>
            </w:r>
          </w:p>
        </w:tc>
        <w:tc>
          <w:tcPr>
            <w:tcW w:type="dxa" w:w="5160"/>
            <w:tcBorders>
              <w:top w:val="single" w:color="C7D0CC" w:sz="4"/>
              <w:left w:val="single" w:color="C7D0CC" w:sz="4"/>
              <w:bottom w:val="single" w:color="C7D0CC" w:sz="4"/>
              <w:right w:val="single" w:color="C7D0CC" w:sz="4"/>
            </w:tcBorders>
            <w:tcMar>
              <w:top w:type="dxa" w:w="80"/>
              <w:left w:type="dxa" w:w="120"/>
              <w:bottom w:type="dxa" w:w="80"/>
              <w:right w:type="dxa" w:w="120"/>
            </w:tcMar>
          </w:tcPr>
          <w:p>
            <w:r>
              <w:rPr>
                <w:rFonts w:ascii="Arial" w:cs="Arial" w:eastAsia="Arial" w:hAnsi="Arial"/>
                <w:b w:val="false"/>
                <w:bCs w:val="false"/>
                <w:color w:val="13262F"/>
                <w:sz w:val="20"/>
                <w:szCs w:val="20"/>
              </w:rPr>
              <w:t xml:space="preserve">Жағдайлар, тәртіптік шаралар, бұзылған шарттар</w:t>
            </w:r>
          </w:p>
        </w:tc>
      </w:tr>
    </w:tbl>
    <w:p>
      <w:pPr>
        <w:spacing w:after="80"/>
        <w:jc w:val="both"/>
      </w:pPr>
      <w:r>
        <w:rPr>
          <w:rFonts w:ascii="Arial" w:cs="Arial" w:eastAsia="Arial" w:hAnsi="Arial"/>
          <w:sz w:val="24"/>
          <w:szCs w:val="24"/>
        </w:rPr>
        <w:t xml:space="preserve"/>
      </w:r>
    </w:p>
    <w:p>
      <w:pPr>
        <w:spacing w:after="140" w:line="320"/>
        <w:jc w:val="both"/>
      </w:pPr>
      <w:r>
        <w:rPr>
          <w:rFonts w:ascii="Arial" w:cs="Arial" w:eastAsia="Arial" w:hAnsi="Arial"/>
          <w:sz w:val="24"/>
          <w:szCs w:val="24"/>
        </w:rPr>
        <w:t xml:space="preserve">Сонымен қатар ішкі көрсеткіштерді ашқан пайдалы: тексерілген контрагенттердің үлесі, антикоррупциялық ескертпесі бар шарттардың үлесі, мүдделер қақтығысы туралы декларациялар саны. ҚТЖ үшін бұл деректер саясаттың 7.8–7.12-бөлімдерінен және жедел желі есептерінен заңды түрде туындайды.</w:t>
      </w:r>
    </w:p>
    <w:p>
      <w:pPr>
        <w:pStyle w:val="Heading1"/>
        <w:spacing w:after="160" w:before="360"/>
      </w:pPr>
      <w:r>
        <w:rPr>
          <w:rFonts w:ascii="Arial" w:cs="Arial" w:eastAsia="Arial" w:hAnsi="Arial"/>
          <w:b/>
          <w:bCs/>
          <w:color w:val="0F2A36"/>
          <w:sz w:val="30"/>
          <w:szCs w:val="30"/>
        </w:rPr>
        <w:t xml:space="preserve">12. Сын-қатерлер</w:t>
      </w:r>
    </w:p>
    <w:p>
      <w:pPr>
        <w:spacing w:after="140" w:line="320"/>
        <w:jc w:val="both"/>
      </w:pPr>
      <w:r>
        <w:rPr>
          <w:rFonts w:ascii="Arial" w:cs="Arial" w:eastAsia="Arial" w:hAnsi="Arial"/>
          <w:sz w:val="24"/>
          <w:szCs w:val="24"/>
        </w:rPr>
        <w:t xml:space="preserve">Бірінші сын-қатер — құжаттар бар, бірақ рәсімдер жұмыс істемейтін «рейтинг үшін» формалды комплаенс; рейтингтер саясаттардың болуын емес, нәтижелерді барған сайын жиі бағалайды. Екіншісі — анық емес ESG-деректер: комплаенс ашылатын көрсеткіштерді тексеруге қатысуы тиіс. Үшіншісі — сатып алулар мен инвестициялық жобалардағы мүдделер қақтығысы, саланың басты тәуекел аймағы. Төртіншісі — қызметтің нақты тәуелсіздігі: ол заңмен бекітілген, бірақ өкілеттіктермен, ресурстармен және деректерге қолжетімділікпен қамтамасыз етілуі тиіс. Бесіншісі — еншілес ұйымдардағы және жеке операторлардағы комплаенстің әртүрлі жетілу деңгейі. Алтыншысы — жедел желіге деген сенім: хабарлаушылар қорғалмаса, арна үнсіз қалады, ал тәуекелдер көрінбейді.</w:t>
      </w:r>
    </w:p>
    <w:p>
      <w:pPr>
        <w:pStyle w:val="Heading1"/>
        <w:spacing w:after="160" w:before="360"/>
      </w:pPr>
      <w:r>
        <w:rPr>
          <w:rFonts w:ascii="Arial" w:cs="Arial" w:eastAsia="Arial" w:hAnsi="Arial"/>
          <w:b/>
          <w:bCs/>
          <w:color w:val="0F2A36"/>
          <w:sz w:val="30"/>
          <w:szCs w:val="30"/>
        </w:rPr>
        <w:t xml:space="preserve">13. Комплаенс қызметіне арналған жол картасы</w:t>
      </w:r>
    </w:p>
    <w:p>
      <w:pPr>
        <w:pStyle w:val="ListParagraph"/>
        <w:numPr>
          <w:ilvl w:val="0"/>
          <w:numId w:val="2"/>
        </w:numPr>
        <w:spacing w:after="100" w:line="300"/>
      </w:pPr>
      <w:r>
        <w:rPr>
          <w:rFonts w:ascii="Arial" w:cs="Arial" w:eastAsia="Arial" w:hAnsi="Arial"/>
          <w:sz w:val="24"/>
          <w:szCs w:val="24"/>
        </w:rPr>
        <w:t xml:space="preserve">Комплаенсті ESG-басқару жүйесіне енгізу: тұрақты даму жөніндегі комитетке қатысу және директорлар кеңесіне тұрақты есеп беру.</w:t>
      </w:r>
    </w:p>
    <w:p>
      <w:pPr>
        <w:pStyle w:val="ListParagraph"/>
        <w:numPr>
          <w:ilvl w:val="0"/>
          <w:numId w:val="2"/>
        </w:numPr>
        <w:spacing w:after="100" w:line="300"/>
      </w:pPr>
      <w:r>
        <w:rPr>
          <w:rFonts w:ascii="Arial" w:cs="Arial" w:eastAsia="Arial" w:hAnsi="Arial"/>
          <w:sz w:val="24"/>
          <w:szCs w:val="24"/>
        </w:rPr>
        <w:t xml:space="preserve">Тәуекелдер картасын кеңейту: сыбайлас жемқорлық тәуекелдеріне экологиялық, еңбек және санкциялық тәуекелдерді қосу.</w:t>
      </w:r>
    </w:p>
    <w:p>
      <w:pPr>
        <w:pStyle w:val="ListParagraph"/>
        <w:numPr>
          <w:ilvl w:val="0"/>
          <w:numId w:val="2"/>
        </w:numPr>
        <w:spacing w:after="100" w:line="300"/>
      </w:pPr>
      <w:r>
        <w:rPr>
          <w:rFonts w:ascii="Arial" w:cs="Arial" w:eastAsia="Arial" w:hAnsi="Arial"/>
          <w:sz w:val="24"/>
          <w:szCs w:val="24"/>
        </w:rPr>
        <w:t xml:space="preserve">Due diligence және E-Compliance жүйесі аясында контрагенттерді тексеруді ESG-критерийлермен толықтыру.</w:t>
      </w:r>
    </w:p>
    <w:p>
      <w:pPr>
        <w:pStyle w:val="ListParagraph"/>
        <w:numPr>
          <w:ilvl w:val="0"/>
          <w:numId w:val="2"/>
        </w:numPr>
        <w:spacing w:after="100" w:line="300"/>
      </w:pPr>
      <w:r>
        <w:rPr>
          <w:rFonts w:ascii="Arial" w:cs="Arial" w:eastAsia="Arial" w:hAnsi="Arial"/>
          <w:sz w:val="24"/>
          <w:szCs w:val="24"/>
        </w:rPr>
        <w:t xml:space="preserve">Сыбайлас жемқорлық, әдеп, кемсітушілік және еңбекті қорғау бойынша хабарлау арналарын біріктіру, хабарлаушыларды қорғауға кепілдік беру.</w:t>
      </w:r>
    </w:p>
    <w:p>
      <w:pPr>
        <w:pStyle w:val="ListParagraph"/>
        <w:numPr>
          <w:ilvl w:val="0"/>
          <w:numId w:val="2"/>
        </w:numPr>
        <w:spacing w:after="100" w:line="300"/>
      </w:pPr>
      <w:r>
        <w:rPr>
          <w:rFonts w:ascii="Arial" w:cs="Arial" w:eastAsia="Arial" w:hAnsi="Arial"/>
          <w:sz w:val="24"/>
          <w:szCs w:val="24"/>
        </w:rPr>
        <w:t xml:space="preserve">GRI 205 және GRI 2-26 бойынша метрикаларды деректерді тәуелсіз тексерумен жинау.</w:t>
      </w:r>
    </w:p>
    <w:p>
      <w:pPr>
        <w:pStyle w:val="ListParagraph"/>
        <w:numPr>
          <w:ilvl w:val="0"/>
          <w:numId w:val="2"/>
        </w:numPr>
        <w:spacing w:after="100" w:line="300"/>
      </w:pPr>
      <w:r>
        <w:rPr>
          <w:rFonts w:ascii="Arial" w:cs="Arial" w:eastAsia="Arial" w:hAnsi="Arial"/>
          <w:sz w:val="24"/>
          <w:szCs w:val="24"/>
        </w:rPr>
        <w:t xml:space="preserve">Топтағы комплаенстің жетілу деңгейін теңестіру: еншілес ұйымдар үшін бірыңғай стандарттар мен оқыту.</w:t>
      </w:r>
    </w:p>
    <w:p>
      <w:pPr>
        <w:pStyle w:val="Heading1"/>
        <w:spacing w:after="160" w:before="360"/>
      </w:pPr>
      <w:r>
        <w:rPr>
          <w:rFonts w:ascii="Arial" w:cs="Arial" w:eastAsia="Arial" w:hAnsi="Arial"/>
          <w:b/>
          <w:bCs/>
          <w:color w:val="0F2A36"/>
          <w:sz w:val="30"/>
          <w:szCs w:val="30"/>
        </w:rPr>
        <w:t xml:space="preserve">Қорытынды</w:t>
      </w:r>
    </w:p>
    <w:p>
      <w:pPr>
        <w:spacing w:after="140" w:line="320"/>
        <w:jc w:val="both"/>
      </w:pPr>
      <w:r>
        <w:rPr>
          <w:rFonts w:ascii="Arial" w:cs="Arial" w:eastAsia="Arial" w:hAnsi="Arial"/>
          <w:sz w:val="24"/>
          <w:szCs w:val="24"/>
        </w:rPr>
        <w:t xml:space="preserve">Комплаенс қызметі G блогындағы ESG-көрсеткіштердің басым бөлігінің және S блогындағы хабарлау арналарының иесі болып табылады. Сыбайлас жемқорлыққа қарсы іс-қимыл туралы заң, «Самұрық-Қазына» АҚ тұлғасындағы корпоративтік орталық және 2025 жылғы жаңартылған саясат ҚТЖ тобына жетілген негіз береді, ал компанияның сыртқы ESG-бағалары өсуде. Келесі қадам — контрагенттерді тексеруді, тәуекелдер картасын және метрикалар жүйесін бүкіл топ бойынша толық ESG-қамтуға дейін кеңейту.</w:t>
      </w:r>
    </w:p>
    <w:p>
      <w:pPr>
        <w:pStyle w:val="Heading1"/>
        <w:spacing w:after="160" w:before="360"/>
      </w:pPr>
      <w:r>
        <w:rPr>
          <w:rFonts w:ascii="Arial" w:cs="Arial" w:eastAsia="Arial" w:hAnsi="Arial"/>
          <w:b/>
          <w:bCs/>
          <w:color w:val="0F2A36"/>
          <w:sz w:val="30"/>
          <w:szCs w:val="30"/>
        </w:rPr>
        <w:t xml:space="preserve">Дереккөздер</w:t>
      </w:r>
    </w:p>
    <w:p>
      <w:pPr>
        <w:pStyle w:val="ListParagraph"/>
        <w:numPr>
          <w:ilvl w:val="0"/>
          <w:numId w:val="3"/>
        </w:numPr>
        <w:spacing w:after="80"/>
      </w:pPr>
      <w:r>
        <w:rPr>
          <w:rFonts w:ascii="Arial" w:cs="Arial" w:eastAsia="Arial" w:hAnsi="Arial"/>
          <w:sz w:val="21"/>
          <w:szCs w:val="21"/>
        </w:rPr>
        <w:t xml:space="preserve">«ҚТЖ» ҰК» АҚ және оның еншілес ұйымдарының Сыбайлас жемқорлыққа қарсы іс-қимыл саясаты, 23.10.2025 ж. ред.</w:t>
      </w:r>
    </w:p>
    <w:p>
      <w:pPr>
        <w:pStyle w:val="ListParagraph"/>
        <w:numPr>
          <w:ilvl w:val="0"/>
          <w:numId w:val="3"/>
        </w:numPr>
        <w:spacing w:after="80"/>
      </w:pPr>
      <w:r>
        <w:rPr>
          <w:rFonts w:ascii="Arial" w:cs="Arial" w:eastAsia="Arial" w:hAnsi="Arial"/>
          <w:sz w:val="21"/>
          <w:szCs w:val="21"/>
        </w:rPr>
        <w:t xml:space="preserve">«Сыбайлас жемқорлыққа қарсы іс-қимыл туралы» 18.11.2015 ж. № 410-V Қазақстан Республикасының Заңы, 16-бап; Квазимемлекеттік сектор субъектілеріндегі сыбайлас жемқорлыққа қарсы комплаенс қызметтері туралы үлгілік ереже.</w:t>
      </w:r>
    </w:p>
    <w:p>
      <w:pPr>
        <w:pStyle w:val="ListParagraph"/>
        <w:numPr>
          <w:ilvl w:val="0"/>
          <w:numId w:val="3"/>
        </w:numPr>
        <w:spacing w:after="80"/>
      </w:pPr>
      <w:r>
        <w:rPr>
          <w:rFonts w:ascii="Arial" w:cs="Arial" w:eastAsia="Arial" w:hAnsi="Arial"/>
          <w:sz w:val="21"/>
          <w:szCs w:val="21"/>
        </w:rPr>
        <w:t xml:space="preserve">«Самұрық-Қазына» АҚ. 2023 жылдық есеп: ESG рейтингтері және климаттық рейтингтер. https://ar2023.sk.kz/ru/esg-and-climate-ratings.html</w:t>
      </w:r>
    </w:p>
    <w:p>
      <w:pPr>
        <w:pStyle w:val="ListParagraph"/>
        <w:numPr>
          <w:ilvl w:val="0"/>
          <w:numId w:val="3"/>
        </w:numPr>
        <w:spacing w:after="80"/>
      </w:pPr>
      <w:r>
        <w:rPr>
          <w:rFonts w:ascii="Arial" w:cs="Arial" w:eastAsia="Arial" w:hAnsi="Arial"/>
          <w:sz w:val="21"/>
          <w:szCs w:val="21"/>
        </w:rPr>
        <w:t xml:space="preserve">«Самұрық-Қазына» АҚ. 2024 жылдық есеп: ESG рейтингтері; Комплаенс қызметі. https://sk.kz/ar2024/ru/esg-and-climate-ratings.html; https://sk.kz/ar2024/ru/compliance-service.html</w:t>
      </w:r>
    </w:p>
    <w:p>
      <w:pPr>
        <w:pStyle w:val="ListParagraph"/>
        <w:numPr>
          <w:ilvl w:val="0"/>
          <w:numId w:val="3"/>
        </w:numPr>
        <w:spacing w:after="80"/>
      </w:pPr>
      <w:r>
        <w:rPr>
          <w:rFonts w:ascii="Arial" w:cs="Arial" w:eastAsia="Arial" w:hAnsi="Arial"/>
          <w:sz w:val="21"/>
          <w:szCs w:val="21"/>
        </w:rPr>
        <w:t xml:space="preserve">«Самұрық-Қазына» АҚ. Комплаенс. https://sk.kz/about-fund/compliance/</w:t>
      </w:r>
    </w:p>
    <w:p>
      <w:pPr>
        <w:pStyle w:val="ListParagraph"/>
        <w:numPr>
          <w:ilvl w:val="0"/>
          <w:numId w:val="3"/>
        </w:numPr>
        <w:spacing w:after="80"/>
      </w:pPr>
      <w:r>
        <w:rPr>
          <w:rFonts w:ascii="Arial" w:cs="Arial" w:eastAsia="Arial" w:hAnsi="Arial"/>
          <w:sz w:val="21"/>
          <w:szCs w:val="21"/>
        </w:rPr>
        <w:t xml:space="preserve">«Самұрық-Қазына» АҚ. Төмен көміртекті даму тұжырымдамасы, 2022. https://sk.kz/investors/financial-performance/reports/low-carbon_development_concept_ru.pdf</w:t>
      </w:r>
    </w:p>
    <w:p>
      <w:pPr>
        <w:pStyle w:val="ListParagraph"/>
        <w:numPr>
          <w:ilvl w:val="0"/>
          <w:numId w:val="3"/>
        </w:numPr>
        <w:spacing w:after="80"/>
      </w:pPr>
      <w:r>
        <w:rPr>
          <w:rFonts w:ascii="Arial" w:cs="Arial" w:eastAsia="Arial" w:hAnsi="Arial"/>
          <w:sz w:val="21"/>
          <w:szCs w:val="21"/>
        </w:rPr>
        <w:t xml:space="preserve">«ҚТЖ» ҰК» АҚ: компания профилі. https://ipo.sk.kz/companies/ktz/</w:t>
      </w:r>
    </w:p>
    <w:p>
      <w:pPr>
        <w:pStyle w:val="ListParagraph"/>
        <w:numPr>
          <w:ilvl w:val="0"/>
          <w:numId w:val="3"/>
        </w:numPr>
        <w:spacing w:after="80"/>
      </w:pPr>
      <w:r>
        <w:rPr>
          <w:rFonts w:ascii="Arial" w:cs="Arial" w:eastAsia="Arial" w:hAnsi="Arial"/>
          <w:sz w:val="21"/>
          <w:szCs w:val="21"/>
        </w:rPr>
        <w:t xml:space="preserve">«ҚТЖ» ҰК» АҚ. 2022 жылғы жылдық есеп. https://kase.kz/files/emitters/TMJL/tmjlp_2022_rus.pdf</w:t>
      </w:r>
    </w:p>
    <w:p>
      <w:pPr>
        <w:pStyle w:val="ListParagraph"/>
        <w:numPr>
          <w:ilvl w:val="0"/>
          <w:numId w:val="3"/>
        </w:numPr>
        <w:spacing w:after="80"/>
      </w:pPr>
      <w:r>
        <w:rPr>
          <w:rFonts w:ascii="Arial" w:cs="Arial" w:eastAsia="Arial" w:hAnsi="Arial"/>
          <w:sz w:val="21"/>
          <w:szCs w:val="21"/>
        </w:rPr>
        <w:t xml:space="preserve">PwC Қазақстан. ESG-ақпаратты ашу бойынша ТОП-50 үздік компания. https://www.pwc.com/kz/en/publications/esg/esg-top-50-december-2024-rus-final.pdf</w:t>
      </w:r>
    </w:p>
    <w:p>
      <w:pPr>
        <w:pStyle w:val="ListParagraph"/>
        <w:numPr>
          <w:ilvl w:val="0"/>
          <w:numId w:val="3"/>
        </w:numPr>
        <w:spacing w:after="80"/>
      </w:pPr>
      <w:r>
        <w:rPr>
          <w:rFonts w:ascii="Arial" w:cs="Arial" w:eastAsia="Arial" w:hAnsi="Arial"/>
          <w:sz w:val="21"/>
          <w:szCs w:val="21"/>
        </w:rPr>
        <w:t xml:space="preserve">«Қазақстан темір жолшысы». ҚТЖ-дағы комплаенс қызметі: бұл не және не үшін қажет? https://rail-news.kz/ru/interview/4875-komplaens-sluzhba-v-ktzh-chto-takoe-i-dlya-chego-nuzhna.html</w:t>
      </w:r>
    </w:p>
    <w:p>
      <w:pPr>
        <w:pStyle w:val="ListParagraph"/>
        <w:numPr>
          <w:ilvl w:val="0"/>
          <w:numId w:val="3"/>
        </w:numPr>
        <w:spacing w:after="80"/>
      </w:pPr>
      <w:r>
        <w:rPr>
          <w:rFonts w:ascii="Arial" w:cs="Arial" w:eastAsia="Arial" w:hAnsi="Arial"/>
          <w:sz w:val="21"/>
          <w:szCs w:val="21"/>
        </w:rPr>
        <w:t xml:space="preserve">«ҚТЖ – Жүк тасымалы» ЖШС. Жедел желі. https://ktzh-gp.kz/ru/hotline/</w:t>
      </w:r>
    </w:p>
    <w:p>
      <w:pPr>
        <w:pStyle w:val="ListParagraph"/>
        <w:numPr>
          <w:ilvl w:val="0"/>
          <w:numId w:val="3"/>
        </w:numPr>
        <w:spacing w:after="80"/>
      </w:pPr>
      <w:r>
        <w:rPr>
          <w:rFonts w:ascii="Arial" w:cs="Arial" w:eastAsia="Arial" w:hAnsi="Arial"/>
          <w:sz w:val="21"/>
          <w:szCs w:val="21"/>
        </w:rPr>
        <w:t xml:space="preserve">GRI 2: General Disclosures 2021; GRI 205: Anti-corruption 2016.</w:t>
      </w:r>
    </w:p>
    <w:sectPr>
      <w:footerReference w:type="default" r:id="rId7"/>
      <w:pgSz w:w="11906" w:h="16838" w:orient="portrait"/>
      <w:pgMar w:top="1134" w:right="1134"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5656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00" w:hanging="360"/>
      </w:pPr>
    </w:lvl>
  </w:abstractNum>
  <w:abstractNum w:abstractNumId="3" w15:restartNumberingAfterBreak="0">
    <w:multiLevelType w:val="hybridMultilevel"/>
    <w:lvl w:ilvl="0" w15:tentative="1">
      <w:start w:val="1"/>
      <w:numFmt w:val="decimal"/>
      <w:lvlText w:val="%1."/>
      <w:lvlJc w:val="left"/>
      <w:pPr>
        <w:ind w:left="50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2026-09-30T05:07:35.090Z</dcterms:created>
  <dcterms:modified xsi:type="dcterms:W3CDTF">2026-09-30T05:07:35.098Z</dcterms:modified>
</cp:coreProperties>
</file>

<file path=docProps/custom.xml><?xml version="1.0" encoding="utf-8"?>
<Properties xmlns="http://schemas.openxmlformats.org/officeDocument/2006/custom-properties" xmlns:vt="http://schemas.openxmlformats.org/officeDocument/2006/docPropsVTypes"/>
</file>