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0F2A36"/>
          <w:sz w:val="44"/>
          <w:szCs w:val="44"/>
        </w:rPr>
        <w:t xml:space="preserve">Комплаенс қызметінің жұмысындағы ESG</w:t>
      </w:r>
    </w:p>
    <w:p>
      <w:pPr>
        <w:spacing w:after="120"/>
      </w:pPr>
      <w:r>
        <w:rPr>
          <w:rFonts w:ascii="Arial" w:cs="Arial" w:eastAsia="Arial" w:hAnsi="Arial"/>
          <w:color w:val="2F6E8E"/>
          <w:sz w:val="28"/>
          <w:szCs w:val="28"/>
        </w:rPr>
        <w:t xml:space="preserve">Қазақстан мен Ресейдің темір жол компанияларының тәжірибесі: «ҚТЖ» ҰК» АҚ және «РЖД» ААҚ</w:t>
      </w:r>
    </w:p>
    <w:p>
      <w:pPr>
        <w:pBdr>
          <w:bottom w:val="single" w:color="E0A11B" w:sz="12" w:space="8"/>
        </w:pBdr>
        <w:spacing w:after="360"/>
      </w:pPr>
      <w:r>
        <w:rPr>
          <w:rFonts w:ascii="Arial" w:cs="Arial" w:eastAsia="Arial" w:hAnsi="Arial"/>
          <w:color w:val="55656E"/>
          <w:sz w:val="22"/>
          <w:szCs w:val="22"/>
        </w:rPr>
        <w:t xml:space="preserve">Баяндама. [Баяндамашының аты-жөні], [іс-шара, күні]</w:t>
      </w:r>
    </w:p>
    <w:p>
      <w:pPr>
        <w:pStyle w:val="Heading1"/>
        <w:spacing w:after="160" w:before="360"/>
      </w:pPr>
      <w:r>
        <w:rPr>
          <w:rFonts w:ascii="Arial" w:cs="Arial" w:eastAsia="Arial" w:hAnsi="Arial"/>
          <w:b/>
          <w:bCs/>
          <w:color w:val="0F2A36"/>
          <w:sz w:val="30"/>
          <w:szCs w:val="30"/>
        </w:rPr>
        <w:t xml:space="preserve">1. Неліктен ESG комплаенске қатысты</w:t>
      </w:r>
    </w:p>
    <w:p>
      <w:pPr>
        <w:spacing w:after="140" w:line="320"/>
        <w:jc w:val="both"/>
      </w:pPr>
      <w:r>
        <w:rPr>
          <w:rFonts w:ascii="Arial" w:cs="Arial" w:eastAsia="Arial" w:hAnsi="Arial"/>
          <w:sz w:val="24"/>
          <w:szCs w:val="24"/>
        </w:rPr>
        <w:t xml:space="preserve">ESG қағидаттары (экология, қоғам, корпоративтік басқару) көбіне тұрақты даму немесе экология бөлімшелерінің міндеті ретінде қабылданады. Алайда G блогы түгелге жуық комплаенс қызметі күн сайын айналысатын істерден тұрады: сыбайлас жемқорлыққа қарсы іс-қимыл, мүдделер қақтығысын басқару, іскерлік әдеп, бұзушылықтар туралы хабарламалармен жұмыс, контрагенттерді тексеру. S блогының едәуір бөлігі, ең алдымен хабарлау арналары мен хабарлаушыларды қорғау, сондай-ақ комплаенстің жауапкершілік аймағында.</w:t>
      </w:r>
    </w:p>
    <w:p>
      <w:pPr>
        <w:spacing w:after="140" w:line="320"/>
        <w:jc w:val="both"/>
      </w:pPr>
      <w:r>
        <w:rPr>
          <w:rFonts w:ascii="Arial" w:cs="Arial" w:eastAsia="Arial" w:hAnsi="Arial"/>
          <w:sz w:val="24"/>
          <w:szCs w:val="24"/>
        </w:rPr>
        <w:t xml:space="preserve">Бұған үш сыртқы фактор нұсқайды. Біріншіден, ESG-рейтингтік агенттіктер сыбайлас жемқорлыққа қарсы саясаттардың, жедел желілердің болуын және жұмысын, сондай-ақ расталған бұзушылықтар санын бағалайды. Екіншіден, темір жол компанияларының мемлекеттік акционерлері (Қазақстанда бұл — «Самұрық-Қазына» АҚ, Ресейде — мемлекет) ESG-ақпараттың ашылуын және жұмыс істейтін сыбайлас жемқорлыққа қарсы бағдарламаларды күтеді. Үшіншіден, есептілік стандарттары, ең алдымен GRI 205 «Сыбайлас жемқорлыққа қарсы іс-қимыл» және GRI 2-26 «Кеңес алу және бұзушылықтар туралы хабарлау тетіктері», дәл комплаенс қызметі жинайтын көрсеткіштерді талап етеді.</w:t>
      </w:r>
    </w:p>
    <w:p>
      <w:pPr>
        <w:pStyle w:val="Heading1"/>
        <w:spacing w:after="160" w:before="360"/>
      </w:pPr>
      <w:r>
        <w:rPr>
          <w:rFonts w:ascii="Arial" w:cs="Arial" w:eastAsia="Arial" w:hAnsi="Arial"/>
          <w:b/>
          <w:bCs/>
          <w:color w:val="0F2A36"/>
          <w:sz w:val="30"/>
          <w:szCs w:val="30"/>
        </w:rPr>
        <w:t xml:space="preserve">2. Темір жол саласының ерекшеліктері</w:t>
      </w:r>
    </w:p>
    <w:p>
      <w:pPr>
        <w:spacing w:after="140" w:line="320"/>
        <w:jc w:val="both"/>
      </w:pPr>
      <w:r>
        <w:rPr>
          <w:rFonts w:ascii="Arial" w:cs="Arial" w:eastAsia="Arial" w:hAnsi="Arial"/>
          <w:sz w:val="24"/>
          <w:szCs w:val="24"/>
        </w:rPr>
        <w:t xml:space="preserve">Темір жолда ESG-тәуекелдерді орташадан жоғары ететін бірнеше фактор тоғысады. Ауқымды сатып алулар мен инвестициялық бағдарламалар тапсырыс беруші тарапында сыбайлас жемқорлық пен мүдделер қақтығысының жоғары тәуекелін тудырады. Мемлекеттік меншік ашықтыққа қойылатын жоғары талаптарды білдіреді: Қазақстанда темір жол компаниясы квазимемлекеттік секторға жатады, Ресейде мемлекеттік компания болып табылады.</w:t>
      </w:r>
    </w:p>
    <w:p>
      <w:pPr>
        <w:spacing w:after="140" w:line="320"/>
        <w:jc w:val="both"/>
      </w:pPr>
      <w:r>
        <w:rPr>
          <w:rFonts w:ascii="Arial" w:cs="Arial" w:eastAsia="Arial" w:hAnsi="Arial"/>
          <w:sz w:val="24"/>
          <w:szCs w:val="24"/>
        </w:rPr>
        <w:t xml:space="preserve">Қауіпті өндіріс пен персоналдың көптігі еңбекті қорғау мен қозғалыс қауіпсіздігін әлеуметтік күн тәртібінің бөлігіне айналдырады. Саланың экологиялық ізі тепловоздар мен қазандықтарды пайдаланумен және қалдықтардың түзілуімен байланысты, демек, климаттық есептіліктің анық болмау тәуекелі туындайды. Транзиттік дәліздер санкциялық және экспорттық шектеулерді ескере отырып шетелдік контрагенттерді тексеруді талап етеді, ал инфрақұрылымның монополиялық жағдайы желіге қолжетімділік пен тарифтер мәселелерінде монополияға қарсы комплаенсті қажет етеді.</w:t>
      </w:r>
    </w:p>
    <w:p>
      <w:pPr>
        <w:pStyle w:val="Heading1"/>
        <w:spacing w:after="160" w:before="360"/>
      </w:pPr>
      <w:r>
        <w:rPr>
          <w:rFonts w:ascii="Arial" w:cs="Arial" w:eastAsia="Arial" w:hAnsi="Arial"/>
          <w:b/>
          <w:bCs/>
          <w:color w:val="0F2A36"/>
          <w:sz w:val="30"/>
          <w:szCs w:val="30"/>
        </w:rPr>
        <w:t xml:space="preserve">3. Қазақстанның реттеуші негізі</w:t>
      </w:r>
    </w:p>
    <w:p>
      <w:pPr>
        <w:spacing w:after="140" w:line="320"/>
        <w:jc w:val="both"/>
      </w:pPr>
      <w:r>
        <w:rPr>
          <w:rFonts w:ascii="Arial" w:cs="Arial" w:eastAsia="Arial" w:hAnsi="Arial"/>
          <w:sz w:val="24"/>
          <w:szCs w:val="24"/>
        </w:rPr>
        <w:t xml:space="preserve">Негізгі норма «Сыбайлас жемқорлыққа қарсы іс-қимыл туралы» Қазақстан Республикасы Заңының 16-бабының 3-тармағында бекітілген. Квазимемлекеттік сектор субъектілерінде сыбайлас жемқорлыққа қарсы комплаенс қызметінің функцияларын атқаратын құрылымдық бөлімше немесе жауапты тұлға айқындалады. Қызмет өз өкілеттіктерін атқарушы органнан және лауазымды тұлғалардан тәуелсіз жүзеге асырады, директорлар кеңесіне (байқау кеңесіне) есеп береді және сыбайлас жемқорлыққа қарсы заңнаманың сақталуын қамтамасыз етуде тәуелсіз болады. Қызметтің құзыреті мен жұмыс тәртібі Сыбайлас жемқорлыққа қарсы комплаенс қызметтері туралы үлгілік ереже негізінде ішкі актімен айқындалады.</w:t>
      </w:r>
    </w:p>
    <w:p>
      <w:pPr>
        <w:spacing w:after="140" w:line="320"/>
        <w:jc w:val="both"/>
      </w:pPr>
      <w:r>
        <w:rPr>
          <w:rFonts w:ascii="Arial" w:cs="Arial" w:eastAsia="Arial" w:hAnsi="Arial"/>
          <w:sz w:val="24"/>
          <w:szCs w:val="24"/>
        </w:rPr>
        <w:t xml:space="preserve">Компаниялар тобы деңгейінде корпоративтік орталық рөлін «Самұрық-Қазына» АҚ атқарады. Қордың комплаенс қызметі портфельдік компаниялардың комплаенс қызметтерінің жұмысын үйлестіреді, жедел желіні сүйемелдейді, тексерулер мен тергеулер жүргізеді, мүдделер қақтығысын анықтап, реттейді. Қордың жедел желісіне тәуелсіз оператор қызмет көрсетеді. 2024 жылы Комплаенс қызметі іскерлік әдеп және комплаенс жүйесіндегі жоғары менеджменттің рөлі бойынша онлайн-курсты, сондай-ақ топтың комплаенс қызметтерінің қызметкерлеріне арналған «Комплаенс Эксперт» бағдарламасын іске қосты. Топтың ESG-негізін Қордың Төмен көміртекті даму тұжырымдамасы (2022) және портфельдік компанияларды ESG және климаттық рейтингтерде тұрақты бағалау толықтырады.</w:t>
      </w:r>
    </w:p>
    <w:p>
      <w:pPr>
        <w:pStyle w:val="Heading1"/>
        <w:spacing w:after="160" w:before="360"/>
      </w:pPr>
      <w:r>
        <w:rPr>
          <w:rFonts w:ascii="Arial" w:cs="Arial" w:eastAsia="Arial" w:hAnsi="Arial"/>
          <w:b/>
          <w:bCs/>
          <w:color w:val="0F2A36"/>
          <w:sz w:val="30"/>
          <w:szCs w:val="30"/>
        </w:rPr>
        <w:t xml:space="preserve">4. Ресейдің реттеуші негізі</w:t>
      </w:r>
    </w:p>
    <w:p>
      <w:pPr>
        <w:spacing w:after="140" w:line="320"/>
        <w:jc w:val="both"/>
      </w:pPr>
      <w:r>
        <w:rPr>
          <w:rFonts w:ascii="Arial" w:cs="Arial" w:eastAsia="Arial" w:hAnsi="Arial"/>
          <w:sz w:val="24"/>
          <w:szCs w:val="24"/>
        </w:rPr>
        <w:t xml:space="preserve">Ресейде ұйымдардың сыбайлас жемқорлықтың алдын алу шараларын қабылдау жөніндегі базалық міндеті «Сыбайлас жемқорлыққа қарсы іс-қимыл туралы» Федералдық заңның 13.3-бабында бекітілген. ESG-ақпаратты ашу негізінен ұсынымдық құжаттармен реттеледі: Жария қаржылық емес есептілікті дамыту тұжырымдамасы (РФ Үкіметінің 05.05.2017 ж. № 876-р өкімі), Ресей Банкінің жария акционерлік қоғамдардың қаржылық емес ақпаратты ашуы жөніндегі ұсынымдары (12.07.2021 ж. № ИН-06-28/49 ақпараттық хаты) және негізгі көрсеткіштер тізбесін қамтитын Тұрақты даму туралы есептілікті дайындау жөніндегі әдістемелік ұсынымдар (Ресей Экономикалық даму министрлігінің 01.11.2023 ж. № 764 бұйрығы).</w:t>
      </w:r>
    </w:p>
    <w:p>
      <w:pPr>
        <w:spacing w:after="140" w:line="320"/>
        <w:jc w:val="both"/>
      </w:pPr>
      <w:r>
        <w:rPr>
          <w:rFonts w:ascii="Arial" w:cs="Arial" w:eastAsia="Arial" w:hAnsi="Arial"/>
          <w:sz w:val="24"/>
          <w:szCs w:val="24"/>
        </w:rPr>
        <w:t xml:space="preserve">Іскерлік бірлестіктердің құралдары маңызды рөл атқарады: Ресей бизнесінің Сыбайлас жемқорлыққа қарсы хартиясы және ISO 37001 стандартының критерийлері мен хартия ережелері бойынша құрастырылатын РСПП-ның сыбайлас жемқорлыққа қарсы рейтингі.</w:t>
      </w:r>
    </w:p>
    <w:p>
      <w:pPr>
        <w:pStyle w:val="Heading1"/>
        <w:spacing w:after="160" w:before="360"/>
      </w:pPr>
      <w:r>
        <w:rPr>
          <w:rFonts w:ascii="Arial" w:cs="Arial" w:eastAsia="Arial" w:hAnsi="Arial"/>
          <w:b/>
          <w:bCs/>
          <w:color w:val="0F2A36"/>
          <w:sz w:val="30"/>
          <w:szCs w:val="30"/>
        </w:rPr>
        <w:t xml:space="preserve">5. «Қазақстан темір жолы» ҰК» АҚ кейсі</w:t>
      </w:r>
    </w:p>
    <w:p>
      <w:pPr>
        <w:spacing w:after="140" w:line="320"/>
        <w:jc w:val="both"/>
      </w:pPr>
      <w:r>
        <w:rPr>
          <w:rFonts w:ascii="Arial" w:cs="Arial" w:eastAsia="Arial" w:hAnsi="Arial"/>
          <w:sz w:val="24"/>
          <w:szCs w:val="24"/>
        </w:rPr>
        <w:t xml:space="preserve">ESG-факторлар ҚТЖ-ның 2029 жылға дейінгі Даму стратегиясында тұрақты дамуды қамтамасыз ету жөніндегі стратегиялық мақсат аясында, оның ішінде экологиялық тұрақтылық пен корпоративтік басқаруды жетілдіруді қоса алғанда көзделген. Тәуелсіз диагностика қорытындысы бойынша компанияның корпоративтік басқару рейтингі «BB» деңгейінде бағаланған.</w:t>
      </w:r>
    </w:p>
    <w:p>
      <w:pPr>
        <w:spacing w:after="140" w:line="320"/>
        <w:jc w:val="both"/>
      </w:pPr>
      <w:r>
        <w:rPr>
          <w:rFonts w:ascii="Arial" w:cs="Arial" w:eastAsia="Arial" w:hAnsi="Arial"/>
          <w:sz w:val="24"/>
          <w:szCs w:val="24"/>
        </w:rPr>
        <w:t xml:space="preserve">Сыртқы бағалаулар оң динамиканы көрсетеді. «Самұрық-Қазына» АҚ жылдық есептерінің деректері бойынша S&amp;P Global Corporate Sustainability Assessment бағасы 2023 жылғы 100-ден 54-тен 2024 жылы 100-ден 60-қа дейін өсті; бұл Қордың бағалаудан өткен портфельдік компаниялары арасындағы ең жоғары нәтиже. Компания сондай-ақ ESG-ақпаратты ашу сапасы бойынша PwC Қазақстан рейтингінің алғашқы ондығына кіреді.</w:t>
      </w:r>
    </w:p>
    <w:p>
      <w:pPr>
        <w:spacing w:after="140" w:line="320"/>
        <w:jc w:val="both"/>
      </w:pPr>
      <w:r>
        <w:rPr>
          <w:rFonts w:ascii="Arial" w:cs="Arial" w:eastAsia="Arial" w:hAnsi="Arial"/>
          <w:sz w:val="24"/>
          <w:szCs w:val="24"/>
        </w:rPr>
        <w:t xml:space="preserve">Сыбайлас жемқорлыққа қарсы негіз «ҚТЖ» ҰК» АҚ және оның еншілес ұйымдарының Сыбайлас жемқорлыққа қарсы іс-қимыл саясатында (23.10.2025 ж. өзекті редакциясы) бекітілген. Саясат ISO 37001:2025 және ISO 37301:2021 ескеріле отырып әзірленген, мүлдем төзбеушілік қағидатын, мүдделер қақтығысын басқаруға, үшінші тұлғаларды тексеруге, сыйлықтар мен өкілдік шығыстарға қойылатын талаптарды, сондай-ақ бұзушылықтар туралы хабарлау, тексерулер мен ішкі тергеулер тәртібін белгілейді. Жеке бөлім Комплаенс қызметінің тәуелсіздігі мен ресурстық қамтамасыз етілуін бекітеді.</w:t>
      </w:r>
    </w:p>
    <w:p>
      <w:pPr>
        <w:pStyle w:val="Heading1"/>
        <w:spacing w:after="160" w:before="360"/>
      </w:pPr>
      <w:r>
        <w:rPr>
          <w:rFonts w:ascii="Arial" w:cs="Arial" w:eastAsia="Arial" w:hAnsi="Arial"/>
          <w:b/>
          <w:bCs/>
          <w:color w:val="0F2A36"/>
          <w:sz w:val="30"/>
          <w:szCs w:val="30"/>
        </w:rPr>
        <w:t xml:space="preserve">6. «РЖД» ААҚ кейсі</w:t>
      </w:r>
    </w:p>
    <w:p>
      <w:pPr>
        <w:spacing w:after="140" w:line="320"/>
        <w:jc w:val="both"/>
      </w:pPr>
      <w:r>
        <w:rPr>
          <w:rFonts w:ascii="Arial" w:cs="Arial" w:eastAsia="Arial" w:hAnsi="Arial"/>
          <w:sz w:val="24"/>
          <w:szCs w:val="24"/>
        </w:rPr>
        <w:t xml:space="preserve">2024 жылғы желтоқсанда «Эксперт РА» рейтингтік агенттігі «РЖД» ААҚ-ға ESG-II(b) деңгейінде ESG рейтингін берді, бұл тұрақты даму тәжірибелерін іске асыру мен жоспарлаудың өте жоғары деңгейін білдіреді. Агенттік компанияның Тұрақты даму туралы есебі GRI және SASB талаптарын ескере отырып жасалғанын және TCFD бойынша ақпаратты ашуды қамтитынын атап өтті.</w:t>
      </w:r>
    </w:p>
    <w:p>
      <w:pPr>
        <w:spacing w:after="140" w:line="320"/>
        <w:jc w:val="both"/>
      </w:pPr>
      <w:r>
        <w:rPr>
          <w:rFonts w:ascii="Arial" w:cs="Arial" w:eastAsia="Arial" w:hAnsi="Arial"/>
          <w:sz w:val="24"/>
          <w:szCs w:val="24"/>
        </w:rPr>
        <w:t xml:space="preserve">РЖД-ның сыбайлас жемқорлыққа қарсы жүйесі Іскерлік әдеп кодексі мен Сыбайлас жемқорлыққа қарсы саясатқа негізделген. Үйлестіруді Сыбайлас жемқорлыққа қарсы іс-қимылды ұйымдастыру орталығы жүзеге асырады. Бөлімшелерде сыбайлас жемқорлық тәуекелдері тұрақты бағаланады және сыбайлас жемқорлық тәуекелдерінің Жиынтық тізілімі жүргізіледі; 2024 жылы сыбайлас жемқорлыққа қарсы талаптардың орындалуына 96 тексеру жүргізілді. Шарттарға контрагент бұзушылық жасағаны анықталған кезде біржақты бұзу құқығы бар антикоррупциялық ескертпе енгізіледі.</w:t>
      </w:r>
    </w:p>
    <w:p>
      <w:pPr>
        <w:spacing w:after="140" w:line="320"/>
        <w:jc w:val="both"/>
      </w:pPr>
      <w:r>
        <w:rPr>
          <w:rFonts w:ascii="Arial" w:cs="Arial" w:eastAsia="Arial" w:hAnsi="Arial"/>
          <w:sz w:val="24"/>
          <w:szCs w:val="24"/>
        </w:rPr>
        <w:t xml:space="preserve">Жедел желінің жұмысы көрнекі. 2024 жылы 500 өтініш түсті, бұл алдыңғы жылдан 32%-ға көп; оның 55-і расталды, 22 млн рубльден астам залал өндіріп алынды, 22 өтініш бойынша материалдар құқық қорғау органдарына жіберілді, 22 қызметкерге тәртіптік шаралар қолданылды. Компания өтініштер санының өсуін арнаға деген сенімнің белгісі деп бағалайды. 2019 жылдан бастап сыбайлас жемқорлыққа қарсы оқыту барлық қызметкерлер үшін міндетті: жұмысқа қабылданғаннан кейін бір ай ішінде және үш жылда бір рет қайталап.</w:t>
      </w:r>
    </w:p>
    <w:p>
      <w:pPr>
        <w:pStyle w:val="Heading1"/>
        <w:spacing w:after="160" w:before="360"/>
      </w:pPr>
      <w:r>
        <w:rPr>
          <w:rFonts w:ascii="Arial" w:cs="Arial" w:eastAsia="Arial" w:hAnsi="Arial"/>
          <w:b/>
          <w:bCs/>
          <w:color w:val="0F2A36"/>
          <w:sz w:val="30"/>
          <w:szCs w:val="30"/>
        </w:rPr>
        <w:t xml:space="preserve">7. Модельдерді салыстыру</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580"/>
        <w:gridCol w:w="3580"/>
      </w:tblGrid>
      <w:tr>
        <w:trPr>
          <w:tblHeader/>
        </w:trPr>
        <w:tc>
          <w:tcPr>
            <w:tcW w:type="dxa" w:w="2200"/>
            <w:tcBorders>
              <w:top w:val="single" w:color="C7D0CC" w:sz="4"/>
              <w:left w:val="single" w:color="C7D0CC" w:sz="4"/>
              <w:bottom w:val="single" w:color="C7D0CC" w:sz="4"/>
              <w:right w:val="single" w:color="C7D0CC" w:sz="4"/>
            </w:tcBorders>
            <w:shd w:fill="0F2A36" w:color="auto" w:val="clear"/>
            <w:tcMar>
              <w:top w:type="dxa" w:w="80"/>
              <w:left w:type="dxa" w:w="120"/>
              <w:bottom w:type="dxa" w:w="80"/>
              <w:right w:type="dxa" w:w="120"/>
            </w:tcMar>
          </w:tcPr>
          <w:p>
            <w:r>
              <w:rPr>
                <w:rFonts w:ascii="Arial" w:cs="Arial" w:eastAsia="Arial" w:hAnsi="Arial"/>
                <w:b/>
                <w:bCs/>
                <w:color w:val="FFFFFF"/>
                <w:sz w:val="20"/>
                <w:szCs w:val="20"/>
              </w:rPr>
              <w:t xml:space="preserve">Параметр</w:t>
            </w:r>
          </w:p>
        </w:tc>
        <w:tc>
          <w:tcPr>
            <w:tcW w:type="dxa" w:w="3580"/>
            <w:tcBorders>
              <w:top w:val="single" w:color="C7D0CC" w:sz="4"/>
              <w:left w:val="single" w:color="C7D0CC" w:sz="4"/>
              <w:bottom w:val="single" w:color="C7D0CC" w:sz="4"/>
              <w:right w:val="single" w:color="C7D0CC" w:sz="4"/>
            </w:tcBorders>
            <w:shd w:fill="0F2A36" w:color="auto" w:val="clear"/>
            <w:tcMar>
              <w:top w:type="dxa" w:w="80"/>
              <w:left w:type="dxa" w:w="120"/>
              <w:bottom w:type="dxa" w:w="80"/>
              <w:right w:type="dxa" w:w="120"/>
            </w:tcMar>
          </w:tcPr>
          <w:p>
            <w:r>
              <w:rPr>
                <w:rFonts w:ascii="Arial" w:cs="Arial" w:eastAsia="Arial" w:hAnsi="Arial"/>
                <w:b/>
                <w:bCs/>
                <w:color w:val="FFFFFF"/>
                <w:sz w:val="20"/>
                <w:szCs w:val="20"/>
              </w:rPr>
              <w:t xml:space="preserve">«ҚТЖ» ҰК» АҚ (Қазақстан)</w:t>
            </w:r>
          </w:p>
        </w:tc>
        <w:tc>
          <w:tcPr>
            <w:tcW w:type="dxa" w:w="3580"/>
            <w:tcBorders>
              <w:top w:val="single" w:color="C7D0CC" w:sz="4"/>
              <w:left w:val="single" w:color="C7D0CC" w:sz="4"/>
              <w:bottom w:val="single" w:color="C7D0CC" w:sz="4"/>
              <w:right w:val="single" w:color="C7D0CC" w:sz="4"/>
            </w:tcBorders>
            <w:shd w:fill="0F2A36" w:color="auto" w:val="clear"/>
            <w:tcMar>
              <w:top w:type="dxa" w:w="80"/>
              <w:left w:type="dxa" w:w="120"/>
              <w:bottom w:type="dxa" w:w="80"/>
              <w:right w:type="dxa" w:w="120"/>
            </w:tcMar>
          </w:tcPr>
          <w:p>
            <w:r>
              <w:rPr>
                <w:rFonts w:ascii="Arial" w:cs="Arial" w:eastAsia="Arial" w:hAnsi="Arial"/>
                <w:b/>
                <w:bCs/>
                <w:color w:val="FFFFFF"/>
                <w:sz w:val="20"/>
                <w:szCs w:val="20"/>
              </w:rPr>
              <w:t xml:space="preserve">«РЖД» ААҚ (Ресей)</w:t>
            </w:r>
          </w:p>
        </w:tc>
      </w:tr>
      <w:tr>
        <w:trPr>
          <w:tblHeader w:val="false"/>
        </w:trPr>
        <w:tc>
          <w:tcPr>
            <w:tcW w:type="dxa" w:w="22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Функция мәртебесі</w:t>
            </w:r>
          </w:p>
        </w:tc>
        <w:tc>
          <w:tcPr>
            <w:tcW w:type="dxa" w:w="358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Директорлар кеңесіне есеп беретін тәуелсіз комплаенс қызметі (заң)</w:t>
            </w:r>
          </w:p>
        </w:tc>
        <w:tc>
          <w:tcPr>
            <w:tcW w:type="dxa" w:w="358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Сыбайлас жемқорлыққа қарсы іс-қимылды ұйымдастыру орталығы</w:t>
            </w:r>
          </w:p>
        </w:tc>
      </w:tr>
      <w:tr>
        <w:trPr>
          <w:tblHeader w:val="false"/>
        </w:trPr>
        <w:tc>
          <w:tcPr>
            <w:tcW w:type="dxa" w:w="22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Топты үйлестіру</w:t>
            </w:r>
          </w:p>
        </w:tc>
        <w:tc>
          <w:tcPr>
            <w:tcW w:type="dxa" w:w="358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«Самұрық-Қазына» АҚ комплаенс қызметі</w:t>
            </w:r>
          </w:p>
        </w:tc>
        <w:tc>
          <w:tcPr>
            <w:tcW w:type="dxa" w:w="358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ЦОПК филиалдар мен еншілес қоғамдарды үйлестіреді</w:t>
            </w:r>
          </w:p>
        </w:tc>
      </w:tr>
      <w:tr>
        <w:trPr>
          <w:tblHeader w:val="false"/>
        </w:trPr>
        <w:tc>
          <w:tcPr>
            <w:tcW w:type="dxa" w:w="22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Стандарттар</w:t>
            </w:r>
          </w:p>
        </w:tc>
        <w:tc>
          <w:tcPr>
            <w:tcW w:type="dxa" w:w="358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Саясатта ISO 37001:2025 және ISO 37301:2021</w:t>
            </w:r>
          </w:p>
        </w:tc>
        <w:tc>
          <w:tcPr>
            <w:tcW w:type="dxa" w:w="358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Сыбайлас жемқорлыққа қарсы саясат, Іскерлік әдеп кодексі, ISO 37001 бойынша РСПП бағалауы</w:t>
            </w:r>
          </w:p>
        </w:tc>
      </w:tr>
      <w:tr>
        <w:trPr>
          <w:tblHeader w:val="false"/>
        </w:trPr>
        <w:tc>
          <w:tcPr>
            <w:tcW w:type="dxa" w:w="22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ESG-бағалау</w:t>
            </w:r>
          </w:p>
        </w:tc>
        <w:tc>
          <w:tcPr>
            <w:tcW w:type="dxa" w:w="358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S&amp;P Global CSA: 60/100 (2024)</w:t>
            </w:r>
          </w:p>
        </w:tc>
        <w:tc>
          <w:tcPr>
            <w:tcW w:type="dxa" w:w="358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«Эксперт РА»: ESG-II(b) (2024)</w:t>
            </w:r>
          </w:p>
        </w:tc>
      </w:tr>
      <w:tr>
        <w:trPr>
          <w:tblHeader w:val="false"/>
        </w:trPr>
        <w:tc>
          <w:tcPr>
            <w:tcW w:type="dxa" w:w="22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Бұзушылықтар туралы хабарлау</w:t>
            </w:r>
          </w:p>
        </w:tc>
        <w:tc>
          <w:tcPr>
            <w:tcW w:type="dxa" w:w="358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Жедел желі, Құпия хабарлау саясаты</w:t>
            </w:r>
          </w:p>
        </w:tc>
        <w:tc>
          <w:tcPr>
            <w:tcW w:type="dxa" w:w="358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Тәулік бойғы жедел желі, оның ішінде анонимді</w:t>
            </w:r>
          </w:p>
        </w:tc>
      </w:tr>
      <w:tr>
        <w:trPr>
          <w:tblHeader w:val="false"/>
        </w:trPr>
        <w:tc>
          <w:tcPr>
            <w:tcW w:type="dxa" w:w="22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Оқыту</w:t>
            </w:r>
          </w:p>
        </w:tc>
        <w:tc>
          <w:tcPr>
            <w:tcW w:type="dxa" w:w="358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Қызметкерлерді хабардар ету, оқыту және тестілеу</w:t>
            </w:r>
          </w:p>
        </w:tc>
        <w:tc>
          <w:tcPr>
            <w:tcW w:type="dxa" w:w="358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Жұмысқа қабылдағанда міндетті, үш жылда бір рет қайталанады</w:t>
            </w:r>
          </w:p>
        </w:tc>
      </w:tr>
    </w:tbl>
    <w:p>
      <w:pPr>
        <w:spacing w:after="80"/>
        <w:jc w:val="both"/>
      </w:pPr>
      <w:r>
        <w:rPr>
          <w:rFonts w:ascii="Arial" w:cs="Arial" w:eastAsia="Arial" w:hAnsi="Arial"/>
          <w:sz w:val="24"/>
          <w:szCs w:val="24"/>
        </w:rPr>
        <w:t xml:space="preserve"/>
      </w:r>
    </w:p>
    <w:p>
      <w:pPr>
        <w:spacing w:after="140" w:line="320"/>
        <w:jc w:val="both"/>
      </w:pPr>
      <w:r>
        <w:rPr>
          <w:rFonts w:ascii="Arial" w:cs="Arial" w:eastAsia="Arial" w:hAnsi="Arial"/>
          <w:sz w:val="24"/>
          <w:szCs w:val="24"/>
        </w:rPr>
        <w:t xml:space="preserve">Қазақстанда модельді заң мен корпоративтік орталық айқындайды, бұл бірыңғай талаптар мен қызметтің тәуелсіздігін қамтамасыз етеді. Ресейде модель көбіне компанияның ішкі құжаттарына, ұлттық рейтингтерге және реттеушілердің ұсынымдарына сүйенеді.</w:t>
      </w:r>
    </w:p>
    <w:p>
      <w:pPr>
        <w:pStyle w:val="Heading1"/>
        <w:spacing w:after="160" w:before="360"/>
      </w:pPr>
      <w:r>
        <w:rPr>
          <w:rFonts w:ascii="Arial" w:cs="Arial" w:eastAsia="Arial" w:hAnsi="Arial"/>
          <w:b/>
          <w:bCs/>
          <w:color w:val="0F2A36"/>
          <w:sz w:val="30"/>
          <w:szCs w:val="30"/>
        </w:rPr>
        <w:t xml:space="preserve">8. ESG блоктары бойынша комплаенс міндеттері</w:t>
      </w:r>
    </w:p>
    <w:p>
      <w:pPr>
        <w:spacing w:after="140" w:line="320"/>
        <w:jc w:val="both"/>
      </w:pPr>
      <w:r>
        <w:rPr>
          <w:rFonts w:ascii="Arial" w:cs="Arial" w:eastAsia="Arial" w:hAnsi="Arial"/>
          <w:sz w:val="24"/>
          <w:szCs w:val="24"/>
        </w:rPr>
        <w:t xml:space="preserve">Экологиялық блокта комплаенс қызметі экологиялық талаптардың сақталуын, есептіліктегі климаттық деректердің дұрыстығын (гринвошингтен қорғау) және экологиялық шарттардың жеткізушілерге қойылатын талаптарға енгізілуін бақылайды. Әлеуметтік блокта ол еңбекті қорғау талаптары мен қызметкерлер құқықтарының сақталуын бақылауға, кемсітпеушілік пен әдепке, сондай-ақ бұзушылықтар туралы хабарлаушыларды қорғауға жауап береді. Корпоративтік басқару блогында бұл оның жұмысының өзегі: сыбайлас жемқорлыққа және мүдделер қақтығысына қарсы іс-қимыл, контрагенттерді тексеру және санкциялық комплаенс, директорлар кеңесіне ақпаратты ашу.</w:t>
      </w:r>
    </w:p>
    <w:p>
      <w:pPr>
        <w:pStyle w:val="Heading1"/>
        <w:spacing w:after="160" w:before="360"/>
      </w:pPr>
      <w:r>
        <w:rPr>
          <w:rFonts w:ascii="Arial" w:cs="Arial" w:eastAsia="Arial" w:hAnsi="Arial"/>
          <w:b/>
          <w:bCs/>
          <w:color w:val="0F2A36"/>
          <w:sz w:val="30"/>
          <w:szCs w:val="30"/>
        </w:rPr>
        <w:t xml:space="preserve">9. Контрагенттер: жеткізу тізбегіндегі ESG</w:t>
      </w:r>
    </w:p>
    <w:p>
      <w:pPr>
        <w:spacing w:after="140" w:line="320"/>
        <w:jc w:val="both"/>
      </w:pPr>
      <w:r>
        <w:rPr>
          <w:rFonts w:ascii="Arial" w:cs="Arial" w:eastAsia="Arial" w:hAnsi="Arial"/>
          <w:sz w:val="24"/>
          <w:szCs w:val="24"/>
        </w:rPr>
        <w:t xml:space="preserve">Контрагенттерді тексеру — сыбайлас жемқорлыққа қарсы комплаенс пен ESG арасындағы ең табиғи көпір. ҚТЖ саясаты іскерлік беделді, мүдделер қақтығысының болмауын, жалған кәсіпкерлік белгілерін, салық берешегін және ақша қаражатының көзін тексеруді, сондай-ақ антикоррупциялық ескертпені енгізуді және серіктестерді саясат талаптары туралы хабардар етуді көздейді. РЖД да шартты бұзу құқығы бар ескертпені енгізеді. Келесі кезеңде сол рәсімге ESG-критерийлерді қосу қисынды: жеткізушінің еңбекті қорғау талаптарын, экологиялық нормаларды және қызметкерлер құқықтарын сақтауы.</w:t>
      </w:r>
    </w:p>
    <w:p>
      <w:pPr>
        <w:pStyle w:val="Heading1"/>
        <w:spacing w:after="160" w:before="360"/>
      </w:pPr>
      <w:r>
        <w:rPr>
          <w:rFonts w:ascii="Arial" w:cs="Arial" w:eastAsia="Arial" w:hAnsi="Arial"/>
          <w:b/>
          <w:bCs/>
          <w:color w:val="0F2A36"/>
          <w:sz w:val="30"/>
          <w:szCs w:val="30"/>
        </w:rPr>
        <w:t xml:space="preserve">10. ESG-есептегі комплаенс метрикалары</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rPr>
          <w:tblHeader/>
        </w:trPr>
        <w:tc>
          <w:tcPr>
            <w:tcW w:type="dxa" w:w="4200"/>
            <w:tcBorders>
              <w:top w:val="single" w:color="C7D0CC" w:sz="4"/>
              <w:left w:val="single" w:color="C7D0CC" w:sz="4"/>
              <w:bottom w:val="single" w:color="C7D0CC" w:sz="4"/>
              <w:right w:val="single" w:color="C7D0CC" w:sz="4"/>
            </w:tcBorders>
            <w:shd w:fill="0F2A36" w:color="auto" w:val="clear"/>
            <w:tcMar>
              <w:top w:type="dxa" w:w="80"/>
              <w:left w:type="dxa" w:w="120"/>
              <w:bottom w:type="dxa" w:w="80"/>
              <w:right w:type="dxa" w:w="120"/>
            </w:tcMar>
          </w:tcPr>
          <w:p>
            <w:r>
              <w:rPr>
                <w:rFonts w:ascii="Arial" w:cs="Arial" w:eastAsia="Arial" w:hAnsi="Arial"/>
                <w:b/>
                <w:bCs/>
                <w:color w:val="FFFFFF"/>
                <w:sz w:val="20"/>
                <w:szCs w:val="20"/>
              </w:rPr>
              <w:t xml:space="preserve">GRI көрсеткіші</w:t>
            </w:r>
          </w:p>
        </w:tc>
        <w:tc>
          <w:tcPr>
            <w:tcW w:type="dxa" w:w="5160"/>
            <w:tcBorders>
              <w:top w:val="single" w:color="C7D0CC" w:sz="4"/>
              <w:left w:val="single" w:color="C7D0CC" w:sz="4"/>
              <w:bottom w:val="single" w:color="C7D0CC" w:sz="4"/>
              <w:right w:val="single" w:color="C7D0CC" w:sz="4"/>
            </w:tcBorders>
            <w:shd w:fill="0F2A36" w:color="auto" w:val="clear"/>
            <w:tcMar>
              <w:top w:type="dxa" w:w="80"/>
              <w:left w:type="dxa" w:w="120"/>
              <w:bottom w:type="dxa" w:w="80"/>
              <w:right w:type="dxa" w:w="120"/>
            </w:tcMar>
          </w:tcPr>
          <w:p>
            <w:r>
              <w:rPr>
                <w:rFonts w:ascii="Arial" w:cs="Arial" w:eastAsia="Arial" w:hAnsi="Arial"/>
                <w:b/>
                <w:bCs/>
                <w:color w:val="FFFFFF"/>
                <w:sz w:val="20"/>
                <w:szCs w:val="20"/>
              </w:rPr>
              <w:t xml:space="preserve">Комплаенс қызметі нені ұсынады</w:t>
            </w:r>
          </w:p>
        </w:tc>
      </w:tr>
      <w:tr>
        <w:trPr>
          <w:tblHeader w:val="false"/>
        </w:trPr>
        <w:tc>
          <w:tcPr>
            <w:tcW w:type="dxa" w:w="42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2-26 Кеңес алу және бұзушылықтар туралы хабарлау тетіктері</w:t>
            </w:r>
          </w:p>
        </w:tc>
        <w:tc>
          <w:tcPr>
            <w:tcW w:type="dxa" w:w="51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Өтініштер саны, қарау мерзімдері, расталғандарының үлесі</w:t>
            </w:r>
          </w:p>
        </w:tc>
      </w:tr>
      <w:tr>
        <w:trPr>
          <w:tblHeader w:val="false"/>
        </w:trPr>
        <w:tc>
          <w:tcPr>
            <w:tcW w:type="dxa" w:w="42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2-27 Заңнаманы сақтау</w:t>
            </w:r>
          </w:p>
        </w:tc>
        <w:tc>
          <w:tcPr>
            <w:tcW w:type="dxa" w:w="51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Елеулі бұзушылықтар мен айыппұлдар</w:t>
            </w:r>
          </w:p>
        </w:tc>
      </w:tr>
      <w:tr>
        <w:trPr>
          <w:tblHeader w:val="false"/>
        </w:trPr>
        <w:tc>
          <w:tcPr>
            <w:tcW w:type="dxa" w:w="42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205-1 Сыбайлас жемқорлық тәуекелдерін бағалаудан өткен бөлімшелер</w:t>
            </w:r>
          </w:p>
        </w:tc>
        <w:tc>
          <w:tcPr>
            <w:tcW w:type="dxa" w:w="51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Бағалаумен қамтылған бөлімшелердің үлесі</w:t>
            </w:r>
          </w:p>
        </w:tc>
      </w:tr>
      <w:tr>
        <w:trPr>
          <w:tblHeader w:val="false"/>
        </w:trPr>
        <w:tc>
          <w:tcPr>
            <w:tcW w:type="dxa" w:w="42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205-2 Хабардар ету және оқыту</w:t>
            </w:r>
          </w:p>
        </w:tc>
        <w:tc>
          <w:tcPr>
            <w:tcW w:type="dxa" w:w="51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Қызметкерлерді оқытумен қамту, контрагенттерді саясатпен таныстыру</w:t>
            </w:r>
          </w:p>
        </w:tc>
      </w:tr>
      <w:tr>
        <w:trPr>
          <w:tblHeader w:val="false"/>
        </w:trPr>
        <w:tc>
          <w:tcPr>
            <w:tcW w:type="dxa" w:w="42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205-3 Расталған сыбайлас жемқорлық жағдайлары</w:t>
            </w:r>
          </w:p>
        </w:tc>
        <w:tc>
          <w:tcPr>
            <w:tcW w:type="dxa" w:w="51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Жағдайлар, тәртіптік шаралар, бұзылған шарттар</w:t>
            </w:r>
          </w:p>
        </w:tc>
      </w:tr>
    </w:tbl>
    <w:p>
      <w:pPr>
        <w:spacing w:after="80"/>
        <w:jc w:val="both"/>
      </w:pPr>
      <w:r>
        <w:rPr>
          <w:rFonts w:ascii="Arial" w:cs="Arial" w:eastAsia="Arial" w:hAnsi="Arial"/>
          <w:sz w:val="24"/>
          <w:szCs w:val="24"/>
        </w:rPr>
        <w:t xml:space="preserve"/>
      </w:r>
    </w:p>
    <w:p>
      <w:pPr>
        <w:spacing w:after="140" w:line="320"/>
        <w:jc w:val="both"/>
      </w:pPr>
      <w:r>
        <w:rPr>
          <w:rFonts w:ascii="Arial" w:cs="Arial" w:eastAsia="Arial" w:hAnsi="Arial"/>
          <w:sz w:val="24"/>
          <w:szCs w:val="24"/>
        </w:rPr>
        <w:t xml:space="preserve">Сонымен қатар ішкі көрсеткіштерді ашқан пайдалы: тексерілген контрагенттердің үлесі, антикоррупциялық ескертпесі бар шарттардың үлесі, мүдделер қақтығысы туралы декларациялар саны.</w:t>
      </w:r>
    </w:p>
    <w:p>
      <w:pPr>
        <w:pStyle w:val="Heading1"/>
        <w:spacing w:after="160" w:before="360"/>
      </w:pPr>
      <w:r>
        <w:rPr>
          <w:rFonts w:ascii="Arial" w:cs="Arial" w:eastAsia="Arial" w:hAnsi="Arial"/>
          <w:b/>
          <w:bCs/>
          <w:color w:val="0F2A36"/>
          <w:sz w:val="30"/>
          <w:szCs w:val="30"/>
        </w:rPr>
        <w:t xml:space="preserve">11. Сын-қатерлер</w:t>
      </w:r>
    </w:p>
    <w:p>
      <w:pPr>
        <w:spacing w:after="140" w:line="320"/>
        <w:jc w:val="both"/>
      </w:pPr>
      <w:r>
        <w:rPr>
          <w:rFonts w:ascii="Arial" w:cs="Arial" w:eastAsia="Arial" w:hAnsi="Arial"/>
          <w:sz w:val="24"/>
          <w:szCs w:val="24"/>
        </w:rPr>
        <w:t xml:space="preserve">Бірінші сын-қатер — құжаттар бар, бірақ рәсімдер жұмыс істемейтін «рейтинг үшін» формалды комплаенс; рейтингтер саясаттардың болуын емес, нәтижелерді барған сайын жиі бағалайды. Екіншісі — анық емес ESG-деректер: комплаенс ашылатын көрсеткіштерді тексеруге қатысуы тиіс. Үшіншісі — сатып алулар мен инвестициялық жобалардағы мүдделер қақтығысы, саланың басты тәуекел аймағы. Төртіншісі — қызметтің нақты тәуелсіздігі: Қазақстанда ол заңмен бекітілген, бірақ өкілеттіктер мен ресурстармен қамтамасыз етілуі тиіс. Бесіншісі — рейтингтік ортаның өзгеруі: 2021 жылы РЖД-ны MSCI, Sustainalytics және ISS ESG бағалады, ал 2024 жылы негізгі бағаларды ресейлік агенттіктер берді. Алтыншысы — жедел желіге деген сенім: хабарлаушылар қорғалмаса, арна үнсіз қалады, ал тәуекелдер көрінбейді.</w:t>
      </w:r>
    </w:p>
    <w:p>
      <w:pPr>
        <w:pStyle w:val="Heading1"/>
        <w:spacing w:after="160" w:before="360"/>
      </w:pPr>
      <w:r>
        <w:rPr>
          <w:rFonts w:ascii="Arial" w:cs="Arial" w:eastAsia="Arial" w:hAnsi="Arial"/>
          <w:b/>
          <w:bCs/>
          <w:color w:val="0F2A36"/>
          <w:sz w:val="30"/>
          <w:szCs w:val="30"/>
        </w:rPr>
        <w:t xml:space="preserve">12. Комплаенс қызметіне арналған жол картасы</w:t>
      </w:r>
    </w:p>
    <w:p>
      <w:pPr>
        <w:pStyle w:val="ListParagraph"/>
        <w:numPr>
          <w:ilvl w:val="0"/>
          <w:numId w:val="2"/>
        </w:numPr>
        <w:spacing w:after="100" w:line="300"/>
      </w:pPr>
      <w:r>
        <w:rPr>
          <w:rFonts w:ascii="Arial" w:cs="Arial" w:eastAsia="Arial" w:hAnsi="Arial"/>
          <w:sz w:val="24"/>
          <w:szCs w:val="24"/>
        </w:rPr>
        <w:t xml:space="preserve">Комплаенсті ESG-басқару жүйесіне енгізу: тұрақты даму жөніндегі комитетке қатысу және директорлар кеңесіне тұрақты есеп беру.</w:t>
      </w:r>
    </w:p>
    <w:p>
      <w:pPr>
        <w:pStyle w:val="ListParagraph"/>
        <w:numPr>
          <w:ilvl w:val="0"/>
          <w:numId w:val="2"/>
        </w:numPr>
        <w:spacing w:after="100" w:line="300"/>
      </w:pPr>
      <w:r>
        <w:rPr>
          <w:rFonts w:ascii="Arial" w:cs="Arial" w:eastAsia="Arial" w:hAnsi="Arial"/>
          <w:sz w:val="24"/>
          <w:szCs w:val="24"/>
        </w:rPr>
        <w:t xml:space="preserve">Тәуекелдер картасын кеңейту: сыбайлас жемқорлық тәуекелдеріне экологиялық, еңбек және санкциялық тәуекелдерді қосу.</w:t>
      </w:r>
    </w:p>
    <w:p>
      <w:pPr>
        <w:pStyle w:val="ListParagraph"/>
        <w:numPr>
          <w:ilvl w:val="0"/>
          <w:numId w:val="2"/>
        </w:numPr>
        <w:spacing w:after="100" w:line="300"/>
      </w:pPr>
      <w:r>
        <w:rPr>
          <w:rFonts w:ascii="Arial" w:cs="Arial" w:eastAsia="Arial" w:hAnsi="Arial"/>
          <w:sz w:val="24"/>
          <w:szCs w:val="24"/>
        </w:rPr>
        <w:t xml:space="preserve">Қолданыстағы due diligence рәсімі аясында контрагенттерді тексеруді ESG-критерийлермен толықтыру.</w:t>
      </w:r>
    </w:p>
    <w:p>
      <w:pPr>
        <w:pStyle w:val="ListParagraph"/>
        <w:numPr>
          <w:ilvl w:val="0"/>
          <w:numId w:val="2"/>
        </w:numPr>
        <w:spacing w:after="100" w:line="300"/>
      </w:pPr>
      <w:r>
        <w:rPr>
          <w:rFonts w:ascii="Arial" w:cs="Arial" w:eastAsia="Arial" w:hAnsi="Arial"/>
          <w:sz w:val="24"/>
          <w:szCs w:val="24"/>
        </w:rPr>
        <w:t xml:space="preserve">Сыбайлас жемқорлық, әдеп, кемсітушілік және еңбекті қорғау бойынша хабарлау арналарын біріктіру, хабарлаушыларды қорғауға кепілдік беру.</w:t>
      </w:r>
    </w:p>
    <w:p>
      <w:pPr>
        <w:pStyle w:val="ListParagraph"/>
        <w:numPr>
          <w:ilvl w:val="0"/>
          <w:numId w:val="2"/>
        </w:numPr>
        <w:spacing w:after="100" w:line="300"/>
      </w:pPr>
      <w:r>
        <w:rPr>
          <w:rFonts w:ascii="Arial" w:cs="Arial" w:eastAsia="Arial" w:hAnsi="Arial"/>
          <w:sz w:val="24"/>
          <w:szCs w:val="24"/>
        </w:rPr>
        <w:t xml:space="preserve">GRI 205 және GRI 2-26 бойынша метрикаларды деректерді тәуелсіз тексерумен жинау.</w:t>
      </w:r>
    </w:p>
    <w:p>
      <w:pPr>
        <w:pStyle w:val="ListParagraph"/>
        <w:numPr>
          <w:ilvl w:val="0"/>
          <w:numId w:val="2"/>
        </w:numPr>
        <w:spacing w:after="100" w:line="300"/>
      </w:pPr>
      <w:r>
        <w:rPr>
          <w:rFonts w:ascii="Arial" w:cs="Arial" w:eastAsia="Arial" w:hAnsi="Arial"/>
          <w:sz w:val="24"/>
          <w:szCs w:val="24"/>
        </w:rPr>
        <w:t xml:space="preserve">Мақсатты түрде оқыту: барлық қызметкерлерге кіріспе курс, басшылар мен сатып алу мамандарына жеке бағдарламалар.</w:t>
      </w:r>
    </w:p>
    <w:p>
      <w:pPr>
        <w:pStyle w:val="Heading1"/>
        <w:spacing w:after="160" w:before="360"/>
      </w:pPr>
      <w:r>
        <w:rPr>
          <w:rFonts w:ascii="Arial" w:cs="Arial" w:eastAsia="Arial" w:hAnsi="Arial"/>
          <w:b/>
          <w:bCs/>
          <w:color w:val="0F2A36"/>
          <w:sz w:val="30"/>
          <w:szCs w:val="30"/>
        </w:rPr>
        <w:t xml:space="preserve">Қорытынды</w:t>
      </w:r>
    </w:p>
    <w:p>
      <w:pPr>
        <w:spacing w:after="140" w:line="320"/>
        <w:jc w:val="both"/>
      </w:pPr>
      <w:r>
        <w:rPr>
          <w:rFonts w:ascii="Arial" w:cs="Arial" w:eastAsia="Arial" w:hAnsi="Arial"/>
          <w:sz w:val="24"/>
          <w:szCs w:val="24"/>
        </w:rPr>
        <w:t xml:space="preserve">Комплаенс қызметі G блогындағы ESG-көрсеткіштердің басым бөлігінің және S блогындағы хабарлау арналарының иесі болып табылады. «ҚТЖ» ҰК» АҚ мен «РЖД» ААҚ-та сыбайлас жемқорлыққа қарсы жетілген база бар және олар ESG-бағаларының өсуін көрсетеді. Екі компания үшін де келесі қадам — контрагенттерді тексеруді, тәуекелдер картасын және метрикалар жүйесін толық ESG-қамтуға дейін кеңейту.</w:t>
      </w:r>
    </w:p>
    <w:p>
      <w:pPr>
        <w:pStyle w:val="Heading1"/>
        <w:spacing w:after="160" w:before="360"/>
      </w:pPr>
      <w:r>
        <w:rPr>
          <w:rFonts w:ascii="Arial" w:cs="Arial" w:eastAsia="Arial" w:hAnsi="Arial"/>
          <w:b/>
          <w:bCs/>
          <w:color w:val="0F2A36"/>
          <w:sz w:val="30"/>
          <w:szCs w:val="30"/>
        </w:rPr>
        <w:t xml:space="preserve">Дереккөздер</w:t>
      </w:r>
    </w:p>
    <w:p>
      <w:pPr>
        <w:pStyle w:val="ListParagraph"/>
        <w:numPr>
          <w:ilvl w:val="0"/>
          <w:numId w:val="3"/>
        </w:numPr>
        <w:spacing w:after="80"/>
      </w:pPr>
      <w:r>
        <w:rPr>
          <w:rFonts w:ascii="Arial" w:cs="Arial" w:eastAsia="Arial" w:hAnsi="Arial"/>
          <w:sz w:val="21"/>
          <w:szCs w:val="21"/>
        </w:rPr>
        <w:t xml:space="preserve">«ҚТЖ» ҰК» АҚ және оның еншілес ұйымдарының Сыбайлас жемқорлыққа қарсы іс-қимыл саясаты, 23.10.2025 ж. ред.</w:t>
      </w:r>
    </w:p>
    <w:p>
      <w:pPr>
        <w:pStyle w:val="ListParagraph"/>
        <w:numPr>
          <w:ilvl w:val="0"/>
          <w:numId w:val="3"/>
        </w:numPr>
        <w:spacing w:after="80"/>
      </w:pPr>
      <w:r>
        <w:rPr>
          <w:rFonts w:ascii="Arial" w:cs="Arial" w:eastAsia="Arial" w:hAnsi="Arial"/>
          <w:sz w:val="21"/>
          <w:szCs w:val="21"/>
        </w:rPr>
        <w:t xml:space="preserve">«Самұрық-Қазына» АҚ. 2023 жылдық есеп: ESG рейтингтері және климаттық рейтингтер. https://ar2023.sk.kz/ru/esg-and-climate-ratings.html</w:t>
      </w:r>
    </w:p>
    <w:p>
      <w:pPr>
        <w:pStyle w:val="ListParagraph"/>
        <w:numPr>
          <w:ilvl w:val="0"/>
          <w:numId w:val="3"/>
        </w:numPr>
        <w:spacing w:after="80"/>
      </w:pPr>
      <w:r>
        <w:rPr>
          <w:rFonts w:ascii="Arial" w:cs="Arial" w:eastAsia="Arial" w:hAnsi="Arial"/>
          <w:sz w:val="21"/>
          <w:szCs w:val="21"/>
        </w:rPr>
        <w:t xml:space="preserve">«Самұрық-Қазына» АҚ. 2024 жылдық есеп: ESG рейтингтері; Комплаенс қызметі. https://sk.kz/ar2024/ru/esg-and-climate-ratings.html; https://sk.kz/ar2024/ru/compliance-service.html</w:t>
      </w:r>
    </w:p>
    <w:p>
      <w:pPr>
        <w:pStyle w:val="ListParagraph"/>
        <w:numPr>
          <w:ilvl w:val="0"/>
          <w:numId w:val="3"/>
        </w:numPr>
        <w:spacing w:after="80"/>
      </w:pPr>
      <w:r>
        <w:rPr>
          <w:rFonts w:ascii="Arial" w:cs="Arial" w:eastAsia="Arial" w:hAnsi="Arial"/>
          <w:sz w:val="21"/>
          <w:szCs w:val="21"/>
        </w:rPr>
        <w:t xml:space="preserve">«ҚТЖ» ҰК» АҚ: компания профилі. https://ipo.sk.kz/companies/ktz/</w:t>
      </w:r>
    </w:p>
    <w:p>
      <w:pPr>
        <w:pStyle w:val="ListParagraph"/>
        <w:numPr>
          <w:ilvl w:val="0"/>
          <w:numId w:val="3"/>
        </w:numPr>
        <w:spacing w:after="80"/>
      </w:pPr>
      <w:r>
        <w:rPr>
          <w:rFonts w:ascii="Arial" w:cs="Arial" w:eastAsia="Arial" w:hAnsi="Arial"/>
          <w:sz w:val="21"/>
          <w:szCs w:val="21"/>
        </w:rPr>
        <w:t xml:space="preserve">PwC Қазақстан. ESG-ақпаратты ашу бойынша ТОП-50 үздік компания. https://www.pwc.com/kz/en/publications/esg/esg-top-50-december-2024-rus-final.pdf</w:t>
      </w:r>
    </w:p>
    <w:p>
      <w:pPr>
        <w:pStyle w:val="ListParagraph"/>
        <w:numPr>
          <w:ilvl w:val="0"/>
          <w:numId w:val="3"/>
        </w:numPr>
        <w:spacing w:after="80"/>
      </w:pPr>
      <w:r>
        <w:rPr>
          <w:rFonts w:ascii="Arial" w:cs="Arial" w:eastAsia="Arial" w:hAnsi="Arial"/>
          <w:sz w:val="21"/>
          <w:szCs w:val="21"/>
        </w:rPr>
        <w:t xml:space="preserve">«Сыбайлас жемқорлыққа қарсы іс-қимыл туралы» 18.11.2015 ж. № 410-V Қазақстан Республикасының Заңы, 16-бап.</w:t>
      </w:r>
    </w:p>
    <w:p>
      <w:pPr>
        <w:pStyle w:val="ListParagraph"/>
        <w:numPr>
          <w:ilvl w:val="0"/>
          <w:numId w:val="3"/>
        </w:numPr>
        <w:spacing w:after="80"/>
      </w:pPr>
      <w:r>
        <w:rPr>
          <w:rFonts w:ascii="Arial" w:cs="Arial" w:eastAsia="Arial" w:hAnsi="Arial"/>
          <w:sz w:val="21"/>
          <w:szCs w:val="21"/>
        </w:rPr>
        <w:t xml:space="preserve">«Самұрық-Қазына» АҚ. Төмен көміртекті даму тұжырымдамасы, 2022.</w:t>
      </w:r>
    </w:p>
    <w:p>
      <w:pPr>
        <w:pStyle w:val="ListParagraph"/>
        <w:numPr>
          <w:ilvl w:val="0"/>
          <w:numId w:val="3"/>
        </w:numPr>
        <w:spacing w:after="80"/>
      </w:pPr>
      <w:r>
        <w:rPr>
          <w:rFonts w:ascii="Arial" w:cs="Arial" w:eastAsia="Arial" w:hAnsi="Arial"/>
          <w:sz w:val="21"/>
          <w:szCs w:val="21"/>
        </w:rPr>
        <w:t xml:space="preserve">«Эксперт РА». «РЖД» ААҚ-тың ESG-II(b) деңгейіндегі ESG рейтингі, 27.12.2024. https://raexpert.ru/releases/2024/dec27</w:t>
      </w:r>
    </w:p>
    <w:p>
      <w:pPr>
        <w:pStyle w:val="ListParagraph"/>
        <w:numPr>
          <w:ilvl w:val="0"/>
          <w:numId w:val="3"/>
        </w:numPr>
        <w:spacing w:after="80"/>
      </w:pPr>
      <w:r>
        <w:rPr>
          <w:rFonts w:ascii="Arial" w:cs="Arial" w:eastAsia="Arial" w:hAnsi="Arial"/>
          <w:sz w:val="21"/>
          <w:szCs w:val="21"/>
        </w:rPr>
        <w:t xml:space="preserve">«РЖД» ААҚ. 2024 жылғы тұрақты даму туралы есеп: жедел желі; сыбайлас жемқорлық тәуекелдерін басқару. https://sr2024.rzd.ru</w:t>
      </w:r>
    </w:p>
    <w:p>
      <w:pPr>
        <w:pStyle w:val="ListParagraph"/>
        <w:numPr>
          <w:ilvl w:val="0"/>
          <w:numId w:val="3"/>
        </w:numPr>
        <w:spacing w:after="80"/>
      </w:pPr>
      <w:r>
        <w:rPr>
          <w:rFonts w:ascii="Arial" w:cs="Arial" w:eastAsia="Arial" w:hAnsi="Arial"/>
          <w:sz w:val="21"/>
          <w:szCs w:val="21"/>
        </w:rPr>
        <w:t xml:space="preserve">«РЖД» ААҚ. 2023 жылғы тұрақты даму туралы есеп: сыбайлас жемқорлыққа төзбеушілікті қалыптастыру. https://sr2023.rzd.ru</w:t>
      </w:r>
    </w:p>
    <w:p>
      <w:pPr>
        <w:pStyle w:val="ListParagraph"/>
        <w:numPr>
          <w:ilvl w:val="0"/>
          <w:numId w:val="3"/>
        </w:numPr>
        <w:spacing w:after="80"/>
      </w:pPr>
      <w:r>
        <w:rPr>
          <w:rFonts w:ascii="Arial" w:cs="Arial" w:eastAsia="Arial" w:hAnsi="Arial"/>
          <w:sz w:val="21"/>
          <w:szCs w:val="21"/>
        </w:rPr>
        <w:t xml:space="preserve">«РЖД» ААҚ. 2021 жылғы тұрақты даму туралы есеп: ESG-рейтингтер. https://sr2021.rzd.ru</w:t>
      </w:r>
    </w:p>
    <w:p>
      <w:pPr>
        <w:pStyle w:val="ListParagraph"/>
        <w:numPr>
          <w:ilvl w:val="0"/>
          <w:numId w:val="3"/>
        </w:numPr>
        <w:spacing w:after="80"/>
      </w:pPr>
      <w:r>
        <w:rPr>
          <w:rFonts w:ascii="Arial" w:cs="Arial" w:eastAsia="Arial" w:hAnsi="Arial"/>
          <w:sz w:val="21"/>
          <w:szCs w:val="21"/>
        </w:rPr>
        <w:t xml:space="preserve">Ресей Экономикалық даму министрлігінің 01.11.2023 ж. № 764 бұйрығы; РФ Үкіметінің № 876-р өкімі; Ресей Банкінің № ИН-06-28/49 ақпараттық хаты.</w:t>
      </w:r>
    </w:p>
    <w:p>
      <w:pPr>
        <w:pStyle w:val="ListParagraph"/>
        <w:numPr>
          <w:ilvl w:val="0"/>
          <w:numId w:val="3"/>
        </w:numPr>
        <w:spacing w:after="80"/>
      </w:pPr>
      <w:r>
        <w:rPr>
          <w:rFonts w:ascii="Arial" w:cs="Arial" w:eastAsia="Arial" w:hAnsi="Arial"/>
          <w:sz w:val="21"/>
          <w:szCs w:val="21"/>
        </w:rPr>
        <w:t xml:space="preserve">GRI 2: General Disclosures 2021; GRI 205: Anti-corruption 2016.</w:t>
      </w:r>
    </w:p>
    <w:sectPr>
      <w:footerReference w:type="default" r:id="rId7"/>
      <w:pgSz w:w="11906" w:h="16838" w:orient="portrait"/>
      <w:pgMar w:top="1134"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5656E"/>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00" w:hanging="360"/>
      </w:pPr>
    </w:lvl>
  </w:abstractNum>
  <w:abstractNum w:abstractNumId="3" w15:restartNumberingAfterBreak="0">
    <w:multiLevelType w:val="hybridMultilevel"/>
    <w:lvl w:ilvl="0" w15:tentative="1">
      <w:start w:val="1"/>
      <w:numFmt w:val="decimal"/>
      <w:lvlText w:val="%1."/>
      <w:lvlJc w:val="left"/>
      <w:pPr>
        <w:ind w:left="50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2026-09-30T04:54:39.901Z</dcterms:created>
  <dcterms:modified xsi:type="dcterms:W3CDTF">2026-09-30T04:54:39.907Z</dcterms:modified>
</cp:coreProperties>
</file>

<file path=docProps/custom.xml><?xml version="1.0" encoding="utf-8"?>
<Properties xmlns="http://schemas.openxmlformats.org/officeDocument/2006/custom-properties" xmlns:vt="http://schemas.openxmlformats.org/officeDocument/2006/docPropsVTypes"/>
</file>