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15302A"/>
          <w:sz w:val="44"/>
          <w:szCs w:val="44"/>
        </w:rPr>
        <w:t xml:space="preserve">ESG-ді басқаруға, тәуекелдерге және комплаенске енгізу</w:t>
      </w:r>
    </w:p>
    <w:p>
      <w:pPr>
        <w:spacing w:after="120"/>
      </w:pPr>
      <w:r>
        <w:rPr>
          <w:rFonts w:ascii="Arial" w:cs="Arial" w:eastAsia="Arial" w:hAnsi="Arial"/>
          <w:color w:val="2E7D63"/>
          <w:sz w:val="28"/>
          <w:szCs w:val="28"/>
        </w:rPr>
        <w:t xml:space="preserve">Қазақстан компанияларына арналған практикалық тәсіл</w:t>
      </w:r>
    </w:p>
    <w:p>
      <w:pPr>
        <w:pBdr>
          <w:bottom w:val="single" w:color="E3B23C" w:sz="12" w:space="8"/>
        </w:pBdr>
        <w:spacing w:after="360"/>
      </w:pPr>
      <w:r>
        <w:rPr>
          <w:rFonts w:ascii="Arial" w:cs="Arial" w:eastAsia="Arial" w:hAnsi="Arial"/>
          <w:color w:val="56665F"/>
          <w:sz w:val="22"/>
          <w:szCs w:val="22"/>
        </w:rPr>
        <w:t xml:space="preserve">Баяндама. [Баяндамашының аты-жөні], [іс-шара, күні]</w:t>
      </w:r>
    </w:p>
    <w:p>
      <w:pPr>
        <w:pStyle w:val="Heading1"/>
        <w:spacing w:after="160" w:before="360"/>
      </w:pPr>
      <w:r>
        <w:rPr>
          <w:rFonts w:ascii="Arial" w:cs="Arial" w:eastAsia="Arial" w:hAnsi="Arial"/>
          <w:b/>
          <w:bCs/>
          <w:color w:val="15302A"/>
          <w:sz w:val="30"/>
          <w:szCs w:val="30"/>
        </w:rPr>
        <w:t xml:space="preserve">1. Неліктен мұнымен қазір айналысу керек</w:t>
      </w:r>
    </w:p>
    <w:p>
      <w:pPr>
        <w:spacing w:after="140" w:line="320"/>
        <w:jc w:val="both"/>
      </w:pPr>
      <w:r>
        <w:rPr>
          <w:rFonts w:ascii="Arial" w:cs="Arial" w:eastAsia="Arial" w:hAnsi="Arial"/>
          <w:sz w:val="24"/>
          <w:szCs w:val="24"/>
        </w:rPr>
        <w:t xml:space="preserve">Қазақстан ерікті ESG-есептіліктен міндетті есептілікке көшуде. 2026 жылғы 19 наурызда Қаржы министрлігі жанындағы ведомствоаралық жұмыс тобы 2027–2028 жылдарға арналған IFRS S1 және S2 стандарттарын кезең-кезеңімен енгізу жөніндегі Жол картасының іске асырылуын қарады. Құжат БҰҰ Даму бағдарламасымен бірлесіп дайындалған және нормативтік, институционалдық және әдіснамалық негізді қалыптастыру жөніндегі 37 іс-шараны қамтиды. 2026 жылғы есепті кезең үшін IFRS S2-ні ерікті қолдану көзделген, ал кейін міндетті есептілік аясы кеңейеді.</w:t>
      </w:r>
    </w:p>
    <w:p>
      <w:pPr>
        <w:spacing w:after="140" w:line="320"/>
        <w:jc w:val="both"/>
      </w:pPr>
      <w:r>
        <w:rPr>
          <w:rFonts w:ascii="Arial" w:cs="Arial" w:eastAsia="Arial" w:hAnsi="Arial"/>
          <w:sz w:val="24"/>
          <w:szCs w:val="24"/>
        </w:rPr>
        <w:t xml:space="preserve">Қаржы секторы ESG-ақпаратты ашуға қазірдің өзінде міндетті: Қаржы нарығын реттеу және дамыту агенттігінің талаптары басқа құжаттармен қатар IFRS S1 және S2-ге де негізделеді. Сонымен қатар KASE мен AIX-тің әдістемелік құжаттары қолданылады, ал ұзақ мерзімді бағдарды 2060 жылға дейін көміртегі бейтараптығына қол жеткізу стратегиясы белгілейді. БҰҰДБ жүргізген нарықтың дайындығын бағалау қазақстандық компаниялардың корпоративтік басқару мен тәуекелдерді басқаруда алға жылжығанын, бірақ сандық ақпаратты ашуды, климаттық деректерді және тұрақты даму факторларын стратегиялық интеграциялауды дамыту қажет екенін көрсетті.</w:t>
      </w:r>
    </w:p>
    <w:p>
      <w:pPr>
        <w:spacing w:after="140" w:line="320"/>
        <w:jc w:val="both"/>
      </w:pPr>
      <w:r>
        <w:rPr>
          <w:rFonts w:ascii="Arial" w:cs="Arial" w:eastAsia="Arial" w:hAnsi="Arial"/>
          <w:sz w:val="24"/>
          <w:szCs w:val="24"/>
        </w:rPr>
        <w:t xml:space="preserve">Компаниялар үшін басты қорытынды: IFRS S1 және S2 жекелеген сандарды емес, жүйені — ESG-нің басқаруға және тәуекелдерді басқаруға қалай енгізілгенін көрсетуді талап етеді. Артында мұндай жүйе жоқ есеп тексеруден өтпейді.</w:t>
      </w:r>
    </w:p>
    <w:p>
      <w:pPr>
        <w:pStyle w:val="Heading1"/>
        <w:spacing w:after="160" w:before="360"/>
      </w:pPr>
      <w:r>
        <w:rPr>
          <w:rFonts w:ascii="Arial" w:cs="Arial" w:eastAsia="Arial" w:hAnsi="Arial"/>
          <w:b/>
          <w:bCs/>
          <w:color w:val="15302A"/>
          <w:sz w:val="30"/>
          <w:szCs w:val="30"/>
        </w:rPr>
        <w:t xml:space="preserve">2. Үш контур моделі</w:t>
      </w:r>
    </w:p>
    <w:p>
      <w:pPr>
        <w:spacing w:after="140" w:line="320"/>
        <w:jc w:val="both"/>
      </w:pPr>
      <w:r>
        <w:rPr>
          <w:rFonts w:ascii="Arial" w:cs="Arial" w:eastAsia="Arial" w:hAnsi="Arial"/>
          <w:sz w:val="24"/>
          <w:szCs w:val="24"/>
        </w:rPr>
        <w:t xml:space="preserve">ESG тұрақты даму бөлімшесінің жеке жобасы болмауы керек. Ол кез келген ірі компанияда бұрыннан бар үш контурға енгізілгенде ғана жұмыс істейді. Басқару контуры шешімді кім қабылдайды және кім жауап береді деген сұраққа жауап береді: директорлар кеңесі, комитеттер, басқарма, стратегия және ынталандыру. Тәуекелдер контуры не бұрыс кетуі мүмкін және оның құны қанша болады деген сұраққа жауап береді: тәуекелдерді басқарудың жалпы жүйесіндегі ESG-тәуекелдер, оларды қаржылық бағалау және сценарийлер. Комплаенс контуры компания өз міндеттемелерін сақтай ма деген сұраққа жауап береді: заңдар мен стандарттардың талаптары, өз саясаттары және ашылатын ақпараттың дұрыстығы.</w:t>
      </w:r>
    </w:p>
    <w:p>
      <w:pPr>
        <w:spacing w:after="140" w:line="320"/>
        <w:jc w:val="both"/>
      </w:pPr>
      <w:r>
        <w:rPr>
          <w:rFonts w:ascii="Arial" w:cs="Arial" w:eastAsia="Arial" w:hAnsi="Arial"/>
          <w:sz w:val="24"/>
          <w:szCs w:val="24"/>
        </w:rPr>
        <w:t xml:space="preserve">Енгізу үшін TCFD-ден мұраға қалған IFRS S1 құрылымы ыңғайлы негіз болып табылады.</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5360"/>
        <w:gridCol w:w="2000"/>
      </w:tblGrid>
      <w:tr>
        <w:trPr>
          <w:tblHeader/>
        </w:trPr>
        <w:tc>
          <w:tcPr>
            <w:tcW w:type="dxa" w:w="2000"/>
            <w:tcBorders>
              <w:top w:val="single" w:color="C7D0CC" w:sz="4"/>
              <w:left w:val="single" w:color="C7D0CC" w:sz="4"/>
              <w:bottom w:val="single" w:color="C7D0CC" w:sz="4"/>
              <w:right w:val="single" w:color="C7D0CC" w:sz="4"/>
            </w:tcBorders>
            <w:shd w:fill="15302A" w:color="auto" w:val="clear"/>
            <w:tcMar>
              <w:top w:type="dxa" w:w="80"/>
              <w:left w:type="dxa" w:w="120"/>
              <w:bottom w:type="dxa" w:w="80"/>
              <w:right w:type="dxa" w:w="120"/>
            </w:tcMar>
          </w:tcPr>
          <w:p>
            <w:r>
              <w:rPr>
                <w:rFonts w:ascii="Arial" w:cs="Arial" w:eastAsia="Arial" w:hAnsi="Arial"/>
                <w:b/>
                <w:bCs/>
                <w:color w:val="FFFFFF"/>
                <w:sz w:val="20"/>
                <w:szCs w:val="20"/>
              </w:rPr>
              <w:t xml:space="preserve">IFRS S1 элементі</w:t>
            </w:r>
          </w:p>
        </w:tc>
        <w:tc>
          <w:tcPr>
            <w:tcW w:type="dxa" w:w="5360"/>
            <w:tcBorders>
              <w:top w:val="single" w:color="C7D0CC" w:sz="4"/>
              <w:left w:val="single" w:color="C7D0CC" w:sz="4"/>
              <w:bottom w:val="single" w:color="C7D0CC" w:sz="4"/>
              <w:right w:val="single" w:color="C7D0CC" w:sz="4"/>
            </w:tcBorders>
            <w:shd w:fill="15302A" w:color="auto" w:val="clear"/>
            <w:tcMar>
              <w:top w:type="dxa" w:w="80"/>
              <w:left w:type="dxa" w:w="120"/>
              <w:bottom w:type="dxa" w:w="80"/>
              <w:right w:type="dxa" w:w="120"/>
            </w:tcMar>
          </w:tcPr>
          <w:p>
            <w:r>
              <w:rPr>
                <w:rFonts w:ascii="Arial" w:cs="Arial" w:eastAsia="Arial" w:hAnsi="Arial"/>
                <w:b/>
                <w:bCs/>
                <w:color w:val="FFFFFF"/>
                <w:sz w:val="20"/>
                <w:szCs w:val="20"/>
              </w:rPr>
              <w:t xml:space="preserve">Нені көрсету керек</w:t>
            </w:r>
          </w:p>
        </w:tc>
        <w:tc>
          <w:tcPr>
            <w:tcW w:type="dxa" w:w="2000"/>
            <w:tcBorders>
              <w:top w:val="single" w:color="C7D0CC" w:sz="4"/>
              <w:left w:val="single" w:color="C7D0CC" w:sz="4"/>
              <w:bottom w:val="single" w:color="C7D0CC" w:sz="4"/>
              <w:right w:val="single" w:color="C7D0CC" w:sz="4"/>
            </w:tcBorders>
            <w:shd w:fill="15302A" w:color="auto" w:val="clear"/>
            <w:tcMar>
              <w:top w:type="dxa" w:w="80"/>
              <w:left w:type="dxa" w:w="120"/>
              <w:bottom w:type="dxa" w:w="80"/>
              <w:right w:type="dxa" w:w="120"/>
            </w:tcMar>
          </w:tcPr>
          <w:p>
            <w:r>
              <w:rPr>
                <w:rFonts w:ascii="Arial" w:cs="Arial" w:eastAsia="Arial" w:hAnsi="Arial"/>
                <w:b/>
                <w:bCs/>
                <w:color w:val="FFFFFF"/>
                <w:sz w:val="20"/>
                <w:szCs w:val="20"/>
              </w:rPr>
              <w:t xml:space="preserve">Контур</w:t>
            </w:r>
          </w:p>
        </w:tc>
      </w:tr>
      <w:tr>
        <w:trPr>
          <w:tblHeader w:val="false"/>
        </w:trPr>
        <w:tc>
          <w:tcPr>
            <w:tcW w:type="dxa" w:w="20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Басқару</w:t>
            </w:r>
          </w:p>
        </w:tc>
        <w:tc>
          <w:tcPr>
            <w:tcW w:type="dxa" w:w="53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Директорлар кеңесі мен менеджмент тұрақты даму саласындағы тәуекелдер мен мүмкіндіктерді қалай бақылайды</w:t>
            </w:r>
          </w:p>
        </w:tc>
        <w:tc>
          <w:tcPr>
            <w:tcW w:type="dxa" w:w="20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Басқару</w:t>
            </w:r>
          </w:p>
        </w:tc>
      </w:tr>
      <w:tr>
        <w:trPr>
          <w:tblHeader w:val="false"/>
        </w:trPr>
        <w:tc>
          <w:tcPr>
            <w:tcW w:type="dxa" w:w="20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Стратегия</w:t>
            </w:r>
          </w:p>
        </w:tc>
        <w:tc>
          <w:tcPr>
            <w:tcW w:type="dxa" w:w="53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ESG-тәуекелдер қысқа, орта және ұзақ мерзімде бизнес-модельге, қаржыға және стратегияға қалай әсер етеді</w:t>
            </w:r>
          </w:p>
        </w:tc>
        <w:tc>
          <w:tcPr>
            <w:tcW w:type="dxa" w:w="20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Басқару және тәуекелдер</w:t>
            </w:r>
          </w:p>
        </w:tc>
      </w:tr>
      <w:tr>
        <w:trPr>
          <w:tblHeader w:val="false"/>
        </w:trPr>
        <w:tc>
          <w:tcPr>
            <w:tcW w:type="dxa" w:w="20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Тәуекелдерді басқару</w:t>
            </w:r>
          </w:p>
        </w:tc>
        <w:tc>
          <w:tcPr>
            <w:tcW w:type="dxa" w:w="53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ESG-тәуекелдер қалай анықталады, бағаланады және тәуекелдерді басқарудың жалпы жүйесіне қалай біріктіріледі</w:t>
            </w:r>
          </w:p>
        </w:tc>
        <w:tc>
          <w:tcPr>
            <w:tcW w:type="dxa" w:w="20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Тәуекелдер</w:t>
            </w:r>
          </w:p>
        </w:tc>
      </w:tr>
      <w:tr>
        <w:trPr>
          <w:tblHeader w:val="false"/>
        </w:trPr>
        <w:tc>
          <w:tcPr>
            <w:tcW w:type="dxa" w:w="20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Метрикалар мен мақсаттар</w:t>
            </w:r>
          </w:p>
        </w:tc>
        <w:tc>
          <w:tcPr>
            <w:tcW w:type="dxa" w:w="53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Қандай көрсеткіштер қолданылады, қандай мақсаттар қойылған және прогресс қалай қадағаланады</w:t>
            </w:r>
          </w:p>
        </w:tc>
        <w:tc>
          <w:tcPr>
            <w:tcW w:type="dxa" w:w="20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Үш контурдың бәрі</w:t>
            </w:r>
          </w:p>
        </w:tc>
      </w:tr>
    </w:tbl>
    <w:p>
      <w:pPr>
        <w:spacing w:after="80"/>
        <w:jc w:val="both"/>
      </w:pPr>
      <w:r>
        <w:rPr>
          <w:rFonts w:ascii="Arial" w:cs="Arial" w:eastAsia="Arial" w:hAnsi="Arial"/>
          <w:sz w:val="24"/>
          <w:szCs w:val="24"/>
        </w:rPr>
        <w:t xml:space="preserve"/>
      </w:r>
    </w:p>
    <w:p>
      <w:pPr>
        <w:pStyle w:val="Heading1"/>
        <w:spacing w:after="160" w:before="360"/>
      </w:pPr>
      <w:r>
        <w:rPr>
          <w:rFonts w:ascii="Arial" w:cs="Arial" w:eastAsia="Arial" w:hAnsi="Arial"/>
          <w:b/>
          <w:bCs/>
          <w:color w:val="15302A"/>
          <w:sz w:val="30"/>
          <w:szCs w:val="30"/>
        </w:rPr>
        <w:t xml:space="preserve">3. Басқару контуры</w:t>
      </w:r>
    </w:p>
    <w:p>
      <w:pPr>
        <w:pStyle w:val="Heading2"/>
        <w:spacing w:after="120" w:before="240"/>
      </w:pPr>
      <w:r>
        <w:rPr>
          <w:rFonts w:ascii="Arial" w:cs="Arial" w:eastAsia="Arial" w:hAnsi="Arial"/>
          <w:b/>
          <w:bCs/>
          <w:color w:val="2E7D63"/>
          <w:sz w:val="26"/>
          <w:szCs w:val="26"/>
        </w:rPr>
        <w:t xml:space="preserve">Директорлар кеңесінің рөлі</w:t>
      </w:r>
    </w:p>
    <w:p>
      <w:pPr>
        <w:spacing w:after="140" w:line="320"/>
        <w:jc w:val="both"/>
      </w:pPr>
      <w:r>
        <w:rPr>
          <w:rFonts w:ascii="Arial" w:cs="Arial" w:eastAsia="Arial" w:hAnsi="Arial"/>
          <w:sz w:val="24"/>
          <w:szCs w:val="24"/>
        </w:rPr>
        <w:t xml:space="preserve">Директорлар кеңесі үшін басты өзгеріс — ESG күн тәртібіндегі ақпараттық тармақ болудан қалып, жауапкершілігі бар қадағалау нысанына айналады. Кеңес ESG-саясат пен стратегияны бекітеді, ESG-мәселелерді белгіленген кезеңділікпен (жылына кемінде [__] рет) қарайды және маңызды тақырыптар тізбесін, оның ішінде қос маңыздылық қағидаты бойынша бекітеді: компания қоғам мен ортаға қалай әсер етеді және ESG-факторлар компанияға қалай әсер етеді.</w:t>
      </w:r>
    </w:p>
    <w:p>
      <w:pPr>
        <w:spacing w:after="140" w:line="320"/>
        <w:jc w:val="both"/>
      </w:pPr>
      <w:r>
        <w:rPr>
          <w:rFonts w:ascii="Arial" w:cs="Arial" w:eastAsia="Arial" w:hAnsi="Arial"/>
          <w:sz w:val="24"/>
          <w:szCs w:val="24"/>
        </w:rPr>
        <w:t xml:space="preserve">Тұрақты даму жөніндегі функциялар жеке комитетке немесе стратегия не аудит жөніндегі комитетке бекітіледі. Кеңес мүшелерін оқыту қажет, ал кеңес құрамында ESG немесе климаттық тәуекелдер бойынша сараптамасы бар кемінде бір мүшенің болғаны жөн. Еңбекті қорғау, шығарындылар және комплаенс-талаптардың сақталуы сияқты ESG-көрсеткіштер топ-менеджменттің қызметінің түйінді көрсеткіштеріне енгізіледі. Тұрақты даму туралы есеп қаржылық есептілікпен бірдей деңгейде бақылаудан өтуі тиіс.</w:t>
      </w:r>
    </w:p>
    <w:p>
      <w:pPr>
        <w:pStyle w:val="Heading2"/>
        <w:spacing w:after="120" w:before="240"/>
      </w:pPr>
      <w:r>
        <w:rPr>
          <w:rFonts w:ascii="Arial" w:cs="Arial" w:eastAsia="Arial" w:hAnsi="Arial"/>
          <w:b/>
          <w:bCs/>
          <w:color w:val="2E7D63"/>
          <w:sz w:val="26"/>
          <w:szCs w:val="26"/>
        </w:rPr>
        <w:t xml:space="preserve">Рөлдерді бөлу</w:t>
      </w:r>
    </w:p>
    <w:p>
      <w:pPr>
        <w:spacing w:after="140" w:line="320"/>
        <w:jc w:val="both"/>
      </w:pPr>
      <w:r>
        <w:rPr>
          <w:rFonts w:ascii="Arial" w:cs="Arial" w:eastAsia="Arial" w:hAnsi="Arial"/>
          <w:sz w:val="24"/>
          <w:szCs w:val="24"/>
        </w:rPr>
        <w:t xml:space="preserve">Жауапкершілікті үш желі моделі бойынша бөлген ыңғайлы. Директорлар кеңесі мен бейінді комитет қадағалауды жүзеге асырады, стратегияны, саясатты және маңызды тақырыптарды бекітеді. Басқарма стратегияны іске асырады, ресурстарды бөледі және өз көрсеткіштеріндегі ESG-мақсаттарға жауап береді. Бірінші желі — бизнес-бөлімшелер: процесс иелері ESG-тәуекелдерді басқарады және бастапқы деректерді жинайды. Екінші желі — тәуекелдерді басқару, комплаенс және ESG-офис: әдіснама, бақылау, деректерді біріктіру және мониторинг. Үшінші желі — жүйені және ESG-деректердің дұрыстығын тәуелсіз бағалайтын ішкі аудит. Негізгі қағидат: ESG-тәуекелдерге процесс иелері жауап береді, ал екінші желі орындаушы емес, әдіснамашы және бақылаушы рөлін атқарады.</w:t>
      </w:r>
    </w:p>
    <w:p>
      <w:pPr>
        <w:pStyle w:val="Heading1"/>
        <w:spacing w:after="160" w:before="360"/>
      </w:pPr>
      <w:r>
        <w:rPr>
          <w:rFonts w:ascii="Arial" w:cs="Arial" w:eastAsia="Arial" w:hAnsi="Arial"/>
          <w:b/>
          <w:bCs/>
          <w:color w:val="15302A"/>
          <w:sz w:val="30"/>
          <w:szCs w:val="30"/>
        </w:rPr>
        <w:t xml:space="preserve">4. Тәуекелдер контуры</w:t>
      </w:r>
    </w:p>
    <w:p>
      <w:pPr>
        <w:pStyle w:val="Heading2"/>
        <w:spacing w:after="120" w:before="240"/>
      </w:pPr>
      <w:r>
        <w:rPr>
          <w:rFonts w:ascii="Arial" w:cs="Arial" w:eastAsia="Arial" w:hAnsi="Arial"/>
          <w:b/>
          <w:bCs/>
          <w:color w:val="2E7D63"/>
          <w:sz w:val="26"/>
          <w:szCs w:val="26"/>
        </w:rPr>
        <w:t xml:space="preserve">ERM ішіндегі ESG-тәуекелдер</w:t>
      </w:r>
    </w:p>
    <w:p>
      <w:pPr>
        <w:spacing w:after="140" w:line="320"/>
        <w:jc w:val="both"/>
      </w:pPr>
      <w:r>
        <w:rPr>
          <w:rFonts w:ascii="Arial" w:cs="Arial" w:eastAsia="Arial" w:hAnsi="Arial"/>
          <w:sz w:val="24"/>
          <w:szCs w:val="24"/>
        </w:rPr>
        <w:t xml:space="preserve">Типтік қате — корпоративтік тәуекелдер тізілімінің жанында жеке «ESG-тізілім» жүргізу. Бұл қосарланған есепке әкеледі, ал ESG-тәуекелдер басқарушылық шешімдерге жетпейді. Дұрыс тәсіл — тәуекелдер тізбесі мен жоспарлау көкжиектерін кеңейте отырып, сол бағалау шкалаларын, сол иелерді және директорлар кеңесіне сол есепті пайдалану. Мұндай интеграцияның практикалық стандарты — COSO және WBCSD-тің «Ұйымның тәуекелдерін басқаруды ESG-ге байланысты тәуекелдерге қолдану» нұсқаулығы (2018). Ол бес компонентті бөліп көрсетеді: басқару және мәдениет, стратегия және мақсат қою, қызмет нәтижелері (анықтау, бағалау, басымдық беру және ден қою), талдау және қайта қарау, ақпарат, коммуникация және есептілік.</w:t>
      </w:r>
    </w:p>
    <w:p>
      <w:pPr>
        <w:pStyle w:val="Heading2"/>
        <w:spacing w:after="120" w:before="240"/>
      </w:pPr>
      <w:r>
        <w:rPr>
          <w:rFonts w:ascii="Arial" w:cs="Arial" w:eastAsia="Arial" w:hAnsi="Arial"/>
          <w:b/>
          <w:bCs/>
          <w:color w:val="2E7D63"/>
          <w:sz w:val="26"/>
          <w:szCs w:val="26"/>
        </w:rPr>
        <w:t xml:space="preserve">ESG-тәуекелдер картасы</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4200"/>
        <w:gridCol w:w="3160"/>
      </w:tblGrid>
      <w:tr>
        <w:trPr>
          <w:tblHeader/>
        </w:trPr>
        <w:tc>
          <w:tcPr>
            <w:tcW w:type="dxa" w:w="2000"/>
            <w:tcBorders>
              <w:top w:val="single" w:color="C7D0CC" w:sz="4"/>
              <w:left w:val="single" w:color="C7D0CC" w:sz="4"/>
              <w:bottom w:val="single" w:color="C7D0CC" w:sz="4"/>
              <w:right w:val="single" w:color="C7D0CC" w:sz="4"/>
            </w:tcBorders>
            <w:shd w:fill="15302A" w:color="auto" w:val="clear"/>
            <w:tcMar>
              <w:top w:type="dxa" w:w="80"/>
              <w:left w:type="dxa" w:w="120"/>
              <w:bottom w:type="dxa" w:w="80"/>
              <w:right w:type="dxa" w:w="120"/>
            </w:tcMar>
          </w:tcPr>
          <w:p>
            <w:r>
              <w:rPr>
                <w:rFonts w:ascii="Arial" w:cs="Arial" w:eastAsia="Arial" w:hAnsi="Arial"/>
                <w:b/>
                <w:bCs/>
                <w:color w:val="FFFFFF"/>
                <w:sz w:val="20"/>
                <w:szCs w:val="20"/>
              </w:rPr>
              <w:t xml:space="preserve">Блок</w:t>
            </w:r>
          </w:p>
        </w:tc>
        <w:tc>
          <w:tcPr>
            <w:tcW w:type="dxa" w:w="4200"/>
            <w:tcBorders>
              <w:top w:val="single" w:color="C7D0CC" w:sz="4"/>
              <w:left w:val="single" w:color="C7D0CC" w:sz="4"/>
              <w:bottom w:val="single" w:color="C7D0CC" w:sz="4"/>
              <w:right w:val="single" w:color="C7D0CC" w:sz="4"/>
            </w:tcBorders>
            <w:shd w:fill="15302A" w:color="auto" w:val="clear"/>
            <w:tcMar>
              <w:top w:type="dxa" w:w="80"/>
              <w:left w:type="dxa" w:w="120"/>
              <w:bottom w:type="dxa" w:w="80"/>
              <w:right w:type="dxa" w:w="120"/>
            </w:tcMar>
          </w:tcPr>
          <w:p>
            <w:r>
              <w:rPr>
                <w:rFonts w:ascii="Arial" w:cs="Arial" w:eastAsia="Arial" w:hAnsi="Arial"/>
                <w:b/>
                <w:bCs/>
                <w:color w:val="FFFFFF"/>
                <w:sz w:val="20"/>
                <w:szCs w:val="20"/>
              </w:rPr>
              <w:t xml:space="preserve">Тәуекелдер мысалдары</w:t>
            </w:r>
          </w:p>
        </w:tc>
        <w:tc>
          <w:tcPr>
            <w:tcW w:type="dxa" w:w="3160"/>
            <w:tcBorders>
              <w:top w:val="single" w:color="C7D0CC" w:sz="4"/>
              <w:left w:val="single" w:color="C7D0CC" w:sz="4"/>
              <w:bottom w:val="single" w:color="C7D0CC" w:sz="4"/>
              <w:right w:val="single" w:color="C7D0CC" w:sz="4"/>
            </w:tcBorders>
            <w:shd w:fill="15302A" w:color="auto" w:val="clear"/>
            <w:tcMar>
              <w:top w:type="dxa" w:w="80"/>
              <w:left w:type="dxa" w:w="120"/>
              <w:bottom w:type="dxa" w:w="80"/>
              <w:right w:type="dxa" w:w="120"/>
            </w:tcMar>
          </w:tcPr>
          <w:p>
            <w:r>
              <w:rPr>
                <w:rFonts w:ascii="Arial" w:cs="Arial" w:eastAsia="Arial" w:hAnsi="Arial"/>
                <w:b/>
                <w:bCs/>
                <w:color w:val="FFFFFF"/>
                <w:sz w:val="20"/>
                <w:szCs w:val="20"/>
              </w:rPr>
              <w:t xml:space="preserve">Қаржылық көрінісі</w:t>
            </w:r>
          </w:p>
        </w:tc>
      </w:tr>
      <w:tr>
        <w:trPr>
          <w:tblHeader w:val="false"/>
        </w:trPr>
        <w:tc>
          <w:tcPr>
            <w:tcW w:type="dxa" w:w="20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E: климат және экология</w:t>
            </w:r>
          </w:p>
        </w:tc>
        <w:tc>
          <w:tcPr>
            <w:tcW w:type="dxa" w:w="42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Физикалық тәуекелдер (аптап ыстық, су тасқыны); өтпелі тәуекелдер: шығарындыларға квоталар, көміртекті реттеу; Экология кодексі бойынша айыппұлдар</w:t>
            </w:r>
          </w:p>
        </w:tc>
        <w:tc>
          <w:tcPr>
            <w:tcW w:type="dxa" w:w="3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Активтерге залал, шығындардың өсуі, шығарындылар үшін төлем, қаржыландыруды шектеу</w:t>
            </w:r>
          </w:p>
        </w:tc>
      </w:tr>
      <w:tr>
        <w:trPr>
          <w:tblHeader w:val="false"/>
        </w:trPr>
        <w:tc>
          <w:tcPr>
            <w:tcW w:type="dxa" w:w="20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S: адамдар және қоғам</w:t>
            </w:r>
          </w:p>
        </w:tc>
        <w:tc>
          <w:tcPr>
            <w:tcW w:type="dxa" w:w="42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Жарақаттану, еңбек даулары, жеткізу тізбегіндегі құқық бұзушылықтар, жергілікті қауымдастықтармен қақтығыстар</w:t>
            </w:r>
          </w:p>
        </w:tc>
        <w:tc>
          <w:tcPr>
            <w:tcW w:type="dxa" w:w="3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Тоқтап қалу, сот талаптары, кадрлар тұрақсыздығы, әлеуметтік лицензиядан айырылу</w:t>
            </w:r>
          </w:p>
        </w:tc>
      </w:tr>
      <w:tr>
        <w:trPr>
          <w:tblHeader w:val="false"/>
        </w:trPr>
        <w:tc>
          <w:tcPr>
            <w:tcW w:type="dxa" w:w="20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G: басқару және әдеп</w:t>
            </w:r>
          </w:p>
        </w:tc>
        <w:tc>
          <w:tcPr>
            <w:tcW w:type="dxa" w:w="42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Сыбайлас жемқорлық, мүдделер қақтығысы, алаяқтық, санкциялар, кибершабуылдар, анық емес ESG-деректер</w:t>
            </w:r>
          </w:p>
        </w:tc>
        <w:tc>
          <w:tcPr>
            <w:tcW w:type="dxa" w:w="3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Айыппұлдар, қылмыстық жауаптылық, беделге нұқсан, инвесторлардың бас тартуы</w:t>
            </w:r>
          </w:p>
        </w:tc>
      </w:tr>
    </w:tbl>
    <w:p>
      <w:pPr>
        <w:spacing w:after="80"/>
        <w:jc w:val="both"/>
      </w:pPr>
      <w:r>
        <w:rPr>
          <w:rFonts w:ascii="Arial" w:cs="Arial" w:eastAsia="Arial" w:hAnsi="Arial"/>
          <w:sz w:val="24"/>
          <w:szCs w:val="24"/>
        </w:rPr>
        <w:t xml:space="preserve"/>
      </w:r>
    </w:p>
    <w:p>
      <w:pPr>
        <w:spacing w:after="140" w:line="320"/>
        <w:jc w:val="both"/>
      </w:pPr>
      <w:r>
        <w:rPr>
          <w:rFonts w:ascii="Arial" w:cs="Arial" w:eastAsia="Arial" w:hAnsi="Arial"/>
          <w:sz w:val="24"/>
          <w:szCs w:val="24"/>
        </w:rPr>
        <w:t xml:space="preserve">Қазақстанда парниктік газдар шығарындыларына квоталармен сауда жүйесі 2013 жылдан бері жұмыс істейді, сондықтан ірі эмитенттер үшін өтпелі климаттық тәуекелдер теориялық емес, әбден өлшенетін сипатқа ие. Әр тәуекелді қаржылық әсер арқылы сипаттау маңызды: IFRS S1 дәл осыны талап етеді және бұл директорлар кеңесіне түсінікті тіл.</w:t>
      </w:r>
    </w:p>
    <w:p>
      <w:pPr>
        <w:pStyle w:val="Heading2"/>
        <w:spacing w:after="120" w:before="240"/>
      </w:pPr>
      <w:r>
        <w:rPr>
          <w:rFonts w:ascii="Arial" w:cs="Arial" w:eastAsia="Arial" w:hAnsi="Arial"/>
          <w:b/>
          <w:bCs/>
          <w:color w:val="2E7D63"/>
          <w:sz w:val="26"/>
          <w:szCs w:val="26"/>
        </w:rPr>
        <w:t xml:space="preserve">Басқару процесі</w:t>
      </w:r>
    </w:p>
    <w:p>
      <w:pPr>
        <w:spacing w:after="140" w:line="320"/>
        <w:jc w:val="both"/>
      </w:pPr>
      <w:r>
        <w:rPr>
          <w:rFonts w:ascii="Arial" w:cs="Arial" w:eastAsia="Arial" w:hAnsi="Arial"/>
          <w:sz w:val="24"/>
          <w:szCs w:val="24"/>
        </w:rPr>
        <w:t xml:space="preserve">ESG-тәуекелдерді басқару циклі бес қадамды қамтиды. Сәйкестендіру маңыздылықты талдауға, процесс иелерінен сауалнама алуға және салалық тәуекел карталарына сүйенеді. Бағалау ықтималдық пен ақшамен көрсетілген әсер бойынша қысқа, орта және ұзақ мерзімді көкжиектерде жүргізіледі. Климаттық тәуекелдерді сценарийлік талдауды IFRS S2 талап етеді; сапалық сценарийлерден бастап, біртіндеп сандық сценарийлерге көшуге болады. Ден қою іс-шаралар жоспарымен тәуекелді төмендету, беру және қабылдау арасындағы таңдауды көздейді. Мониторинг шектері мен эскалация тәртібі бар тәуекелдің негізгі индикаторларына негізделеді. Цикл нәтижесі — директорлар кеңесі тұрақты түрде қарайтын, иелері, ақшалай бағасы және ерте ескерту индикаторлары бар ESG-тәуекелдер тізілімі.</w:t>
      </w:r>
    </w:p>
    <w:p>
      <w:pPr>
        <w:pStyle w:val="Heading1"/>
        <w:spacing w:after="160" w:before="360"/>
      </w:pPr>
      <w:r>
        <w:rPr>
          <w:rFonts w:ascii="Arial" w:cs="Arial" w:eastAsia="Arial" w:hAnsi="Arial"/>
          <w:b/>
          <w:bCs/>
          <w:color w:val="15302A"/>
          <w:sz w:val="30"/>
          <w:szCs w:val="30"/>
        </w:rPr>
        <w:t xml:space="preserve">5. Комплаенс контуры</w:t>
      </w:r>
    </w:p>
    <w:p>
      <w:pPr>
        <w:pStyle w:val="Heading2"/>
        <w:spacing w:after="120" w:before="240"/>
      </w:pPr>
      <w:r>
        <w:rPr>
          <w:rFonts w:ascii="Arial" w:cs="Arial" w:eastAsia="Arial" w:hAnsi="Arial"/>
          <w:b/>
          <w:bCs/>
          <w:color w:val="2E7D63"/>
          <w:sz w:val="26"/>
          <w:szCs w:val="26"/>
        </w:rPr>
        <w:t xml:space="preserve">Сыбайлас жемқорлыққа қарсы іс-қимылдан ESG-комплаенске</w:t>
      </w:r>
    </w:p>
    <w:p>
      <w:pPr>
        <w:spacing w:after="140" w:line="320"/>
        <w:jc w:val="both"/>
      </w:pPr>
      <w:r>
        <w:rPr>
          <w:rFonts w:ascii="Arial" w:cs="Arial" w:eastAsia="Arial" w:hAnsi="Arial"/>
          <w:sz w:val="24"/>
          <w:szCs w:val="24"/>
        </w:rPr>
        <w:t xml:space="preserve">Тарихи тұрғыдан қазақстандық компаниялардағы комплаенс сыбайлас жемқорлыққа және мүдделер қақтығысына қарсы іс-қимылға шоғырланған; квазимемлекеттік секторда сыбайлас жемқорлыққа қарсы комплаенс қызметі міндетті, атқарушы органнан тәуелсіз және директорлар кеңесіне есеп береді («Сыбайлас жемқорлыққа қарсы іс-қимыл туралы» Заңның 16-бабы). ESG енгізілген кезде комплаенс нысаны барлық ESG-міндеттемелерді сақтауға дейін кеңейеді: экологиялық, еңбек, сыбайлас жемқорлыққа қарсы, санкциялық және ақпаратты ашу міндеттемелері.</w:t>
      </w:r>
    </w:p>
    <w:p>
      <w:pPr>
        <w:spacing w:after="140" w:line="320"/>
        <w:jc w:val="both"/>
      </w:pPr>
      <w:r>
        <w:rPr>
          <w:rFonts w:ascii="Arial" w:cs="Arial" w:eastAsia="Arial" w:hAnsi="Arial"/>
          <w:sz w:val="24"/>
          <w:szCs w:val="24"/>
        </w:rPr>
        <w:t xml:space="preserve">Бірыңғай міндеттемелер тізілімі негіз болып табылады: тағайындалған иелері бар заңдар, стандарттар талаптарының және компанияның өз ESG-мәлімдемелерінің тізбесі. Жүйенің негізі ретінде ISO 37301 (сәйкестікті басқару жүйелері) және ISO 37001 (парақорлыққа қарсы іс-қимыл жүйелері) қызмет ете алады. Компанияның жария ESG-мәлімдемелері де міндеттеме екенін есте ұстау маңызды: егер мәлімделген мақсат деректермен расталмаса, гринвошингтің комплаенс-тәуекелі туындайды.</w:t>
      </w:r>
    </w:p>
    <w:p>
      <w:pPr>
        <w:pStyle w:val="Heading2"/>
        <w:spacing w:after="120" w:before="240"/>
      </w:pPr>
      <w:r>
        <w:rPr>
          <w:rFonts w:ascii="Arial" w:cs="Arial" w:eastAsia="Arial" w:hAnsi="Arial"/>
          <w:b/>
          <w:bCs/>
          <w:color w:val="2E7D63"/>
          <w:sz w:val="26"/>
          <w:szCs w:val="26"/>
        </w:rPr>
        <w:t xml:space="preserve">Құралдар</w:t>
      </w:r>
    </w:p>
    <w:p>
      <w:pPr>
        <w:spacing w:after="140" w:line="320"/>
        <w:jc w:val="both"/>
      </w:pPr>
      <w:r>
        <w:rPr>
          <w:rFonts w:ascii="Arial" w:cs="Arial" w:eastAsia="Arial" w:hAnsi="Arial"/>
          <w:sz w:val="24"/>
          <w:szCs w:val="24"/>
        </w:rPr>
        <w:t xml:space="preserve">ESG-комплаенс құралдарының көбі компанияларда сыбайлас жемқорлыққа қарсы контурда бұрыннан бар, ал міндет — олардың қамтуын кеңейту. Контрагенттерді тексеруді еңбекті қорғау, экология, қызметкерлер құқықтары және санкциялар критерийлерімен толықтырған жөн. Мінез-құлық кодексі әдепті, кемсітпеушілікті, адам құқықтарын және қоршаған ортаға көзқарасты қамтуы тиіс. Жедел желі хабарлаушыларды қорғау кепілдігімен сыбайлас жемқорлық, әдеп бұзушылықтары, кемсітушілік және еңбекті қорғау туралы хабарламаларға арналған бірыңғай арнаға айналады. Оқыту мақсатты түрде құрылады: барлық қызметкерлерге кіріспе курс және директорлар кеңесіне, басшылар мен сатып алу мамандарына жеке бағдарламалар. Комплаенс қызметі сондай-ақ ашылатын ESG-көрсеткіштер мен жария мәлімдемелердің дұрыстығын тексереді және ESG-бұзушылықтар бойынша тергеулерді директорлар кеңесіне есеп бере отырып, бірыңғай тәртіппен жүргізеді.</w:t>
      </w:r>
    </w:p>
    <w:p>
      <w:pPr>
        <w:pStyle w:val="Heading1"/>
        <w:spacing w:after="160" w:before="360"/>
      </w:pPr>
      <w:r>
        <w:rPr>
          <w:rFonts w:ascii="Arial" w:cs="Arial" w:eastAsia="Arial" w:hAnsi="Arial"/>
          <w:b/>
          <w:bCs/>
          <w:color w:val="15302A"/>
          <w:sz w:val="30"/>
          <w:szCs w:val="30"/>
        </w:rPr>
        <w:t xml:space="preserve">6. Деректер мен метрикалар</w:t>
      </w:r>
    </w:p>
    <w:p>
      <w:pPr>
        <w:spacing w:after="140" w:line="320"/>
        <w:jc w:val="both"/>
      </w:pPr>
      <w:r>
        <w:rPr>
          <w:rFonts w:ascii="Arial" w:cs="Arial" w:eastAsia="Arial" w:hAnsi="Arial"/>
          <w:sz w:val="24"/>
          <w:szCs w:val="24"/>
        </w:rPr>
        <w:t xml:space="preserve">Деректер үш контурды байланыстырады: оларсыз ESG-есеп те, басқару да болмайды. Әр көрсеткішке есептеу әдістемесі, иесі, ішкі бақылау және уақыт өте келе сыртқы растау қажет.</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00"/>
        <w:gridCol w:w="2360"/>
        <w:gridCol w:w="2400"/>
      </w:tblGrid>
      <w:tr>
        <w:trPr>
          <w:tblHeader/>
        </w:trPr>
        <w:tc>
          <w:tcPr>
            <w:tcW w:type="dxa" w:w="4600"/>
            <w:tcBorders>
              <w:top w:val="single" w:color="C7D0CC" w:sz="4"/>
              <w:left w:val="single" w:color="C7D0CC" w:sz="4"/>
              <w:bottom w:val="single" w:color="C7D0CC" w:sz="4"/>
              <w:right w:val="single" w:color="C7D0CC" w:sz="4"/>
            </w:tcBorders>
            <w:shd w:fill="15302A" w:color="auto" w:val="clear"/>
            <w:tcMar>
              <w:top w:type="dxa" w:w="80"/>
              <w:left w:type="dxa" w:w="120"/>
              <w:bottom w:type="dxa" w:w="80"/>
              <w:right w:type="dxa" w:w="120"/>
            </w:tcMar>
          </w:tcPr>
          <w:p>
            <w:r>
              <w:rPr>
                <w:rFonts w:ascii="Arial" w:cs="Arial" w:eastAsia="Arial" w:hAnsi="Arial"/>
                <w:b/>
                <w:bCs/>
                <w:color w:val="FFFFFF"/>
                <w:sz w:val="20"/>
                <w:szCs w:val="20"/>
              </w:rPr>
              <w:t xml:space="preserve">Көрсеткіш</w:t>
            </w:r>
          </w:p>
        </w:tc>
        <w:tc>
          <w:tcPr>
            <w:tcW w:type="dxa" w:w="2360"/>
            <w:tcBorders>
              <w:top w:val="single" w:color="C7D0CC" w:sz="4"/>
              <w:left w:val="single" w:color="C7D0CC" w:sz="4"/>
              <w:bottom w:val="single" w:color="C7D0CC" w:sz="4"/>
              <w:right w:val="single" w:color="C7D0CC" w:sz="4"/>
            </w:tcBorders>
            <w:shd w:fill="15302A" w:color="auto" w:val="clear"/>
            <w:tcMar>
              <w:top w:type="dxa" w:w="80"/>
              <w:left w:type="dxa" w:w="120"/>
              <w:bottom w:type="dxa" w:w="80"/>
              <w:right w:type="dxa" w:w="120"/>
            </w:tcMar>
          </w:tcPr>
          <w:p>
            <w:r>
              <w:rPr>
                <w:rFonts w:ascii="Arial" w:cs="Arial" w:eastAsia="Arial" w:hAnsi="Arial"/>
                <w:b/>
                <w:bCs/>
                <w:color w:val="FFFFFF"/>
                <w:sz w:val="20"/>
                <w:szCs w:val="20"/>
              </w:rPr>
              <w:t xml:space="preserve">Стандарт</w:t>
            </w:r>
          </w:p>
        </w:tc>
        <w:tc>
          <w:tcPr>
            <w:tcW w:type="dxa" w:w="2400"/>
            <w:tcBorders>
              <w:top w:val="single" w:color="C7D0CC" w:sz="4"/>
              <w:left w:val="single" w:color="C7D0CC" w:sz="4"/>
              <w:bottom w:val="single" w:color="C7D0CC" w:sz="4"/>
              <w:right w:val="single" w:color="C7D0CC" w:sz="4"/>
            </w:tcBorders>
            <w:shd w:fill="15302A" w:color="auto" w:val="clear"/>
            <w:tcMar>
              <w:top w:type="dxa" w:w="80"/>
              <w:left w:type="dxa" w:w="120"/>
              <w:bottom w:type="dxa" w:w="80"/>
              <w:right w:type="dxa" w:w="120"/>
            </w:tcMar>
          </w:tcPr>
          <w:p>
            <w:r>
              <w:rPr>
                <w:rFonts w:ascii="Arial" w:cs="Arial" w:eastAsia="Arial" w:hAnsi="Arial"/>
                <w:b/>
                <w:bCs/>
                <w:color w:val="FFFFFF"/>
                <w:sz w:val="20"/>
                <w:szCs w:val="20"/>
              </w:rPr>
              <w:t xml:space="preserve">Деректер иесі</w:t>
            </w:r>
          </w:p>
        </w:tc>
      </w:tr>
      <w:tr>
        <w:trPr>
          <w:tblHeader w:val="false"/>
        </w:trPr>
        <w:tc>
          <w:tcPr>
            <w:tcW w:type="dxa" w:w="46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Парниктік газдар шығарындылары, Scope 1 және 2</w:t>
            </w:r>
          </w:p>
        </w:tc>
        <w:tc>
          <w:tcPr>
            <w:tcW w:type="dxa" w:w="23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IFRS S2; GRI 305</w:t>
            </w:r>
          </w:p>
        </w:tc>
        <w:tc>
          <w:tcPr>
            <w:tcW w:type="dxa" w:w="24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Экология, энергетика</w:t>
            </w:r>
          </w:p>
        </w:tc>
      </w:tr>
      <w:tr>
        <w:trPr>
          <w:tblHeader w:val="false"/>
        </w:trPr>
        <w:tc>
          <w:tcPr>
            <w:tcW w:type="dxa" w:w="46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Жарақаттану және оқиғалар</w:t>
            </w:r>
          </w:p>
        </w:tc>
        <w:tc>
          <w:tcPr>
            <w:tcW w:type="dxa" w:w="23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GRI 403</w:t>
            </w:r>
          </w:p>
        </w:tc>
        <w:tc>
          <w:tcPr>
            <w:tcW w:type="dxa" w:w="24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Еңбекті қорғау</w:t>
            </w:r>
          </w:p>
        </w:tc>
      </w:tr>
      <w:tr>
        <w:trPr>
          <w:tblHeader w:val="false"/>
        </w:trPr>
        <w:tc>
          <w:tcPr>
            <w:tcW w:type="dxa" w:w="46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Сыбайлас жемқорлық тәуекелдерін бағалау, оқыту, расталған жағдайлар</w:t>
            </w:r>
          </w:p>
        </w:tc>
        <w:tc>
          <w:tcPr>
            <w:tcW w:type="dxa" w:w="23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GRI 205-1, 205-2, 205-3</w:t>
            </w:r>
          </w:p>
        </w:tc>
        <w:tc>
          <w:tcPr>
            <w:tcW w:type="dxa" w:w="24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Комплаенс</w:t>
            </w:r>
          </w:p>
        </w:tc>
      </w:tr>
      <w:tr>
        <w:trPr>
          <w:tblHeader w:val="false"/>
        </w:trPr>
        <w:tc>
          <w:tcPr>
            <w:tcW w:type="dxa" w:w="46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Жедел желіге түскен өтініштер және олардың нәтижелері</w:t>
            </w:r>
          </w:p>
        </w:tc>
        <w:tc>
          <w:tcPr>
            <w:tcW w:type="dxa" w:w="23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GRI 2-26</w:t>
            </w:r>
          </w:p>
        </w:tc>
        <w:tc>
          <w:tcPr>
            <w:tcW w:type="dxa" w:w="24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Комплаенс</w:t>
            </w:r>
          </w:p>
        </w:tc>
      </w:tr>
      <w:tr>
        <w:trPr>
          <w:tblHeader w:val="false"/>
        </w:trPr>
        <w:tc>
          <w:tcPr>
            <w:tcW w:type="dxa" w:w="46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Маңызды ESG-тәуекелдер және олардың қаржылық әсері</w:t>
            </w:r>
          </w:p>
        </w:tc>
        <w:tc>
          <w:tcPr>
            <w:tcW w:type="dxa" w:w="23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IFRS S1</w:t>
            </w:r>
          </w:p>
        </w:tc>
        <w:tc>
          <w:tcPr>
            <w:tcW w:type="dxa" w:w="24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Тәуекелдерді басқару</w:t>
            </w:r>
          </w:p>
        </w:tc>
      </w:tr>
      <w:tr>
        <w:trPr>
          <w:tblHeader w:val="false"/>
        </w:trPr>
        <w:tc>
          <w:tcPr>
            <w:tcW w:type="dxa" w:w="46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ESG-критерийлер бойынша тексерілген контрагенттер үлесі</w:t>
            </w:r>
          </w:p>
        </w:tc>
        <w:tc>
          <w:tcPr>
            <w:tcW w:type="dxa" w:w="23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Ішкі ҚТК</w:t>
            </w:r>
          </w:p>
        </w:tc>
        <w:tc>
          <w:tcPr>
            <w:tcW w:type="dxa" w:w="240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Сатып алу, комплаенс</w:t>
            </w:r>
          </w:p>
        </w:tc>
      </w:tr>
    </w:tbl>
    <w:p>
      <w:pPr>
        <w:spacing w:after="80"/>
        <w:jc w:val="both"/>
      </w:pPr>
      <w:r>
        <w:rPr>
          <w:rFonts w:ascii="Arial" w:cs="Arial" w:eastAsia="Arial" w:hAnsi="Arial"/>
          <w:sz w:val="24"/>
          <w:szCs w:val="24"/>
        </w:rPr>
        <w:t xml:space="preserve"/>
      </w:r>
    </w:p>
    <w:p>
      <w:pPr>
        <w:pStyle w:val="Heading1"/>
        <w:spacing w:after="160" w:before="360"/>
      </w:pPr>
      <w:r>
        <w:rPr>
          <w:rFonts w:ascii="Arial" w:cs="Arial" w:eastAsia="Arial" w:hAnsi="Arial"/>
          <w:b/>
          <w:bCs/>
          <w:color w:val="15302A"/>
          <w:sz w:val="30"/>
          <w:szCs w:val="30"/>
        </w:rPr>
        <w:t xml:space="preserve">7. Енгізудің жол картасы</w:t>
      </w:r>
    </w:p>
    <w:p>
      <w:pPr>
        <w:spacing w:after="140" w:line="320"/>
        <w:jc w:val="both"/>
      </w:pPr>
      <w:r>
        <w:rPr>
          <w:rFonts w:ascii="Arial" w:cs="Arial" w:eastAsia="Arial" w:hAnsi="Arial"/>
          <w:sz w:val="24"/>
          <w:szCs w:val="24"/>
        </w:rPr>
        <w:t xml:space="preserve">Ұсынылатын реттілік 24 айға есептелген; мерзімдер шамамен берілген және компанияның ауқымына әрі оның ұлттық жол картасының міндетті аясына енуіне байланысты.</w:t>
      </w:r>
    </w:p>
    <w:p>
      <w:pPr>
        <w:pStyle w:val="ListParagraph"/>
        <w:numPr>
          <w:ilvl w:val="0"/>
          <w:numId w:val="2"/>
        </w:numPr>
        <w:spacing w:after="100" w:line="300"/>
      </w:pPr>
      <w:r>
        <w:rPr>
          <w:rFonts w:ascii="Arial" w:cs="Arial" w:eastAsia="Arial" w:hAnsi="Arial"/>
          <w:sz w:val="24"/>
          <w:szCs w:val="24"/>
        </w:rPr>
        <w:t xml:space="preserve">0–3 ай, диагностика: IFRS S1 және S2 талаптарымен алшақтықтарды талдау, маңыздылықты талдау, деректерді түгендеу.</w:t>
      </w:r>
    </w:p>
    <w:p>
      <w:pPr>
        <w:pStyle w:val="ListParagraph"/>
        <w:numPr>
          <w:ilvl w:val="0"/>
          <w:numId w:val="2"/>
        </w:numPr>
        <w:spacing w:after="100" w:line="300"/>
      </w:pPr>
      <w:r>
        <w:rPr>
          <w:rFonts w:ascii="Arial" w:cs="Arial" w:eastAsia="Arial" w:hAnsi="Arial"/>
          <w:sz w:val="24"/>
          <w:szCs w:val="24"/>
        </w:rPr>
        <w:t xml:space="preserve">3–6 ай, архитектура: ESG-саясат, директорлар кеңесі мен комитеттің рөлдері, ESG-тәуекелдерді бағалау әдістемесі, міндеттемелер тізілімі.</w:t>
      </w:r>
    </w:p>
    <w:p>
      <w:pPr>
        <w:pStyle w:val="ListParagraph"/>
        <w:numPr>
          <w:ilvl w:val="0"/>
          <w:numId w:val="2"/>
        </w:numPr>
        <w:spacing w:after="100" w:line="300"/>
      </w:pPr>
      <w:r>
        <w:rPr>
          <w:rFonts w:ascii="Arial" w:cs="Arial" w:eastAsia="Arial" w:hAnsi="Arial"/>
          <w:sz w:val="24"/>
          <w:szCs w:val="24"/>
        </w:rPr>
        <w:t xml:space="preserve">6–12 ай, интеграция: корпоративтік тәуекелдерді басқару жүйесіндегі ESG-тәуекелдер, ҚТК-дағы ESG-көрсеткіштер, контрагенттерді кеңейтілген тексеру, бірыңғай жедел желі.</w:t>
      </w:r>
    </w:p>
    <w:p>
      <w:pPr>
        <w:pStyle w:val="ListParagraph"/>
        <w:numPr>
          <w:ilvl w:val="0"/>
          <w:numId w:val="2"/>
        </w:numPr>
        <w:spacing w:after="100" w:line="300"/>
      </w:pPr>
      <w:r>
        <w:rPr>
          <w:rFonts w:ascii="Arial" w:cs="Arial" w:eastAsia="Arial" w:hAnsi="Arial"/>
          <w:sz w:val="24"/>
          <w:szCs w:val="24"/>
        </w:rPr>
        <w:t xml:space="preserve">12–24 ай, есептілік: IFRS S2, содан кейін S1 бойынша ақпаратты ашу; ESG-деректерді ішкі бақылау және сыртқы растау.</w:t>
      </w:r>
    </w:p>
    <w:p>
      <w:pPr>
        <w:pStyle w:val="Heading1"/>
        <w:spacing w:after="160" w:before="360"/>
      </w:pPr>
      <w:r>
        <w:rPr>
          <w:rFonts w:ascii="Arial" w:cs="Arial" w:eastAsia="Arial" w:hAnsi="Arial"/>
          <w:b/>
          <w:bCs/>
          <w:color w:val="15302A"/>
          <w:sz w:val="30"/>
          <w:szCs w:val="30"/>
        </w:rPr>
        <w:t xml:space="preserve">8. Типтік қателер</w:t>
      </w:r>
    </w:p>
    <w:p>
      <w:pPr>
        <w:spacing w:after="140" w:line="320"/>
        <w:jc w:val="both"/>
      </w:pPr>
      <w:r>
        <w:rPr>
          <w:rFonts w:ascii="Arial" w:cs="Arial" w:eastAsia="Arial" w:hAnsi="Arial"/>
          <w:sz w:val="24"/>
          <w:szCs w:val="24"/>
        </w:rPr>
        <w:t xml:space="preserve">Енгізудегі ең жиі қателер жоғарыда баяндалған қағидаттардың айнадағы бейнесі болып табылады. ESG жеке жоба ретінде жүргізіледі: бөлім есеп жазады, ал процестер өзгермейді. ESG-тәуекелдер ERM-нен тыс параллель тізілімде өмір сүреді және шешімдерге жетпейді. Есеп деректер, әдістемелер және көрсеткіш иелері пайда болғанға дейін жарияланады. Директорлар кеңесі ESG-ді күн тәртібіне шешімдерсіз, мақсатсыз және жауапкершіліксіз формалды түрде енгізеді. Комплаенс тек сыбайлас жемқорлыққа қарсы болып қалады, ал экологиялық және еңбек міндеттемелері бақылаудан тыс қалады. Ақырында, жария мақсаттар дәлелдермен бекітілмейді, бұл гринвошинг үшін айыптау тәуекелін тудырады.</w:t>
      </w:r>
    </w:p>
    <w:p>
      <w:pPr>
        <w:pStyle w:val="Heading1"/>
        <w:spacing w:after="160" w:before="360"/>
      </w:pPr>
      <w:r>
        <w:rPr>
          <w:rFonts w:ascii="Arial" w:cs="Arial" w:eastAsia="Arial" w:hAnsi="Arial"/>
          <w:b/>
          <w:bCs/>
          <w:color w:val="15302A"/>
          <w:sz w:val="30"/>
          <w:szCs w:val="30"/>
        </w:rPr>
        <w:t xml:space="preserve">Қорытынды</w:t>
      </w:r>
    </w:p>
    <w:p>
      <w:pPr>
        <w:spacing w:after="140" w:line="320"/>
        <w:jc w:val="both"/>
      </w:pPr>
      <w:r>
        <w:rPr>
          <w:rFonts w:ascii="Arial" w:cs="Arial" w:eastAsia="Arial" w:hAnsi="Arial"/>
          <w:sz w:val="24"/>
          <w:szCs w:val="24"/>
        </w:rPr>
        <w:t xml:space="preserve">ESG жеке жоба ретінде емес, бар үш контур арқылы енгізіледі: басқару, тәуекелдер және комплаенс. Қазақстанның IFRS S1 және S2-ге көшуі бұл интеграцияны міндетті етеді, өйткені тек сандарды ғана емес, олардың артында тұрған жүйені де ашуға тура келеді. Есеп дайындаудан емес, алшақтықтарды диагностикалаудан және деректер иелерін тағайындаудан бастау керек.</w:t>
      </w:r>
    </w:p>
    <w:p>
      <w:pPr>
        <w:pStyle w:val="Heading1"/>
        <w:spacing w:after="160" w:before="360"/>
      </w:pPr>
      <w:r>
        <w:rPr>
          <w:rFonts w:ascii="Arial" w:cs="Arial" w:eastAsia="Arial" w:hAnsi="Arial"/>
          <w:b/>
          <w:bCs/>
          <w:color w:val="15302A"/>
          <w:sz w:val="30"/>
          <w:szCs w:val="30"/>
        </w:rPr>
        <w:t xml:space="preserve">Дереккөздер</w:t>
      </w:r>
    </w:p>
    <w:p>
      <w:pPr>
        <w:pStyle w:val="ListParagraph"/>
        <w:numPr>
          <w:ilvl w:val="0"/>
          <w:numId w:val="3"/>
        </w:numPr>
        <w:spacing w:after="80"/>
      </w:pPr>
      <w:r>
        <w:rPr>
          <w:rFonts w:ascii="Arial" w:cs="Arial" w:eastAsia="Arial" w:hAnsi="Arial"/>
          <w:sz w:val="21"/>
          <w:szCs w:val="21"/>
        </w:rPr>
        <w:t xml:space="preserve">ҚР Қаржы министрлігі. IFRS S1 және S2 енгізу жөніндегі ведомствоаралық жұмыс тобының отырысы, 19.03.2026. https://uchet.kz/news/vnedrenie-standartov-msfo-ifrs-s1-i-s2-gotovitsya-v-kazakhstane/</w:t>
      </w:r>
    </w:p>
    <w:p>
      <w:pPr>
        <w:pStyle w:val="ListParagraph"/>
        <w:numPr>
          <w:ilvl w:val="0"/>
          <w:numId w:val="3"/>
        </w:numPr>
        <w:spacing w:after="80"/>
      </w:pPr>
      <w:r>
        <w:rPr>
          <w:rFonts w:ascii="Arial" w:cs="Arial" w:eastAsia="Arial" w:hAnsi="Arial"/>
          <w:sz w:val="21"/>
          <w:szCs w:val="21"/>
        </w:rPr>
        <w:t xml:space="preserve">БҰҰДБ Қазақстанда. Тұрақты даму саласындағы ақпаратты ашу жөніндегі ұлттық жол картасы: IFRS S1 және S2-ні кезең-кезеңімен енгізу (2026 ж. мамыр). https://www.undp.org/ru/node/582526</w:t>
      </w:r>
    </w:p>
    <w:p>
      <w:pPr>
        <w:pStyle w:val="ListParagraph"/>
        <w:numPr>
          <w:ilvl w:val="0"/>
          <w:numId w:val="3"/>
        </w:numPr>
        <w:spacing w:after="80"/>
      </w:pPr>
      <w:r>
        <w:rPr>
          <w:rFonts w:ascii="Arial" w:cs="Arial" w:eastAsia="Arial" w:hAnsi="Arial"/>
          <w:sz w:val="21"/>
          <w:szCs w:val="21"/>
        </w:rPr>
        <w:t xml:space="preserve">БҰҰДБ Қазақстанда. Нарық пен нормативтік-құқықтық ортаның IFRS S1 және S2-ні енгізуге дайындығын бағалау (2026 ж. мамыр). https://www.undp.org/kazakhstan/publications/assessment-market-and-regulatory-readiness-adoption-ifrs-s1-and-s2-sustainability-disclosure-standards-kazakhstan</w:t>
      </w:r>
    </w:p>
    <w:p>
      <w:pPr>
        <w:pStyle w:val="ListParagraph"/>
        <w:numPr>
          <w:ilvl w:val="0"/>
          <w:numId w:val="3"/>
        </w:numPr>
        <w:spacing w:after="80"/>
      </w:pPr>
      <w:r>
        <w:rPr>
          <w:rFonts w:ascii="Arial" w:cs="Arial" w:eastAsia="Arial" w:hAnsi="Arial"/>
          <w:sz w:val="21"/>
          <w:szCs w:val="21"/>
        </w:rPr>
        <w:t xml:space="preserve">Курсив. Қазақстан компаниялары қаржылық емес есептіліктің жаңа стандартына көшуде. https://kz.kursiv.media/opinions/standart-nefinansovoi-otchetnosti/</w:t>
      </w:r>
    </w:p>
    <w:p>
      <w:pPr>
        <w:pStyle w:val="ListParagraph"/>
        <w:numPr>
          <w:ilvl w:val="0"/>
          <w:numId w:val="3"/>
        </w:numPr>
        <w:spacing w:after="80"/>
      </w:pPr>
      <w:r>
        <w:rPr>
          <w:rFonts w:ascii="Arial" w:cs="Arial" w:eastAsia="Arial" w:hAnsi="Arial"/>
          <w:sz w:val="21"/>
          <w:szCs w:val="21"/>
        </w:rPr>
        <w:t xml:space="preserve">ISSB. IFRS S1 General Requirements for Disclosure of Sustainability-related Financial Information; IFRS S2 Climate-related Disclosures (2023).</w:t>
      </w:r>
    </w:p>
    <w:p>
      <w:pPr>
        <w:pStyle w:val="ListParagraph"/>
        <w:numPr>
          <w:ilvl w:val="0"/>
          <w:numId w:val="3"/>
        </w:numPr>
        <w:spacing w:after="80"/>
      </w:pPr>
      <w:r>
        <w:rPr>
          <w:rFonts w:ascii="Arial" w:cs="Arial" w:eastAsia="Arial" w:hAnsi="Arial"/>
          <w:sz w:val="21"/>
          <w:szCs w:val="21"/>
        </w:rPr>
        <w:t xml:space="preserve">COSO, WBCSD. Applying Enterprise Risk Management to Environmental, Social and Governance-related Risks (2018).</w:t>
      </w:r>
    </w:p>
    <w:p>
      <w:pPr>
        <w:pStyle w:val="ListParagraph"/>
        <w:numPr>
          <w:ilvl w:val="0"/>
          <w:numId w:val="3"/>
        </w:numPr>
        <w:spacing w:after="80"/>
      </w:pPr>
      <w:r>
        <w:rPr>
          <w:rFonts w:ascii="Arial" w:cs="Arial" w:eastAsia="Arial" w:hAnsi="Arial"/>
          <w:sz w:val="21"/>
          <w:szCs w:val="21"/>
        </w:rPr>
        <w:t xml:space="preserve">The IIA. The IIA's Three Lines Model (2020).</w:t>
      </w:r>
    </w:p>
    <w:p>
      <w:pPr>
        <w:pStyle w:val="ListParagraph"/>
        <w:numPr>
          <w:ilvl w:val="0"/>
          <w:numId w:val="3"/>
        </w:numPr>
        <w:spacing w:after="80"/>
      </w:pPr>
      <w:r>
        <w:rPr>
          <w:rFonts w:ascii="Arial" w:cs="Arial" w:eastAsia="Arial" w:hAnsi="Arial"/>
          <w:sz w:val="21"/>
          <w:szCs w:val="21"/>
        </w:rPr>
        <w:t xml:space="preserve">ISO 37301:2021 Compliance management systems; ISO 37001 Anti-bribery management systems.</w:t>
      </w:r>
    </w:p>
    <w:p>
      <w:pPr>
        <w:pStyle w:val="ListParagraph"/>
        <w:numPr>
          <w:ilvl w:val="0"/>
          <w:numId w:val="3"/>
        </w:numPr>
        <w:spacing w:after="80"/>
      </w:pPr>
      <w:r>
        <w:rPr>
          <w:rFonts w:ascii="Arial" w:cs="Arial" w:eastAsia="Arial" w:hAnsi="Arial"/>
          <w:sz w:val="21"/>
          <w:szCs w:val="21"/>
        </w:rPr>
        <w:t xml:space="preserve">«Сыбайлас жемқорлыққа қарсы іс-қимыл туралы» 18.11.2015 ж. № 410-V Қазақстан Республикасының Заңы, 16-бап.</w:t>
      </w:r>
    </w:p>
    <w:p>
      <w:pPr>
        <w:pStyle w:val="ListParagraph"/>
        <w:numPr>
          <w:ilvl w:val="0"/>
          <w:numId w:val="3"/>
        </w:numPr>
        <w:spacing w:after="80"/>
      </w:pPr>
      <w:r>
        <w:rPr>
          <w:rFonts w:ascii="Arial" w:cs="Arial" w:eastAsia="Arial" w:hAnsi="Arial"/>
          <w:sz w:val="21"/>
          <w:szCs w:val="21"/>
        </w:rPr>
        <w:t xml:space="preserve">Қазақстан Республикасының 2060 жылға дейін көміртегі бейтараптығына қол жеткізу стратегиясы.</w:t>
      </w:r>
    </w:p>
    <w:p>
      <w:pPr>
        <w:pStyle w:val="ListParagraph"/>
        <w:numPr>
          <w:ilvl w:val="0"/>
          <w:numId w:val="3"/>
        </w:numPr>
        <w:spacing w:after="80"/>
      </w:pPr>
      <w:r>
        <w:rPr>
          <w:rFonts w:ascii="Arial" w:cs="Arial" w:eastAsia="Arial" w:hAnsi="Arial"/>
          <w:sz w:val="21"/>
          <w:szCs w:val="21"/>
        </w:rPr>
        <w:t xml:space="preserve">GRI 2: General Disclosures 2021; GRI 205: Anti-corruption 2016; GRI 305: Emissions 2016; GRI 403: Occupational Health and Safety 2018.</w:t>
      </w:r>
    </w:p>
    <w:sectPr>
      <w:footerReference w:type="default" r:id="rId7"/>
      <w:pgSz w:w="11906" w:h="16838" w:orient="portrait"/>
      <w:pgMar w:top="1134"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5656E"/>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00" w:hanging="360"/>
      </w:pPr>
    </w:lvl>
  </w:abstractNum>
  <w:abstractNum w:abstractNumId="3" w15:restartNumberingAfterBreak="0">
    <w:multiLevelType w:val="hybridMultilevel"/>
    <w:lvl w:ilvl="0" w15:tentative="1">
      <w:start w:val="1"/>
      <w:numFmt w:val="decimal"/>
      <w:lvlText w:val="%1."/>
      <w:lvlJc w:val="left"/>
      <w:pPr>
        <w:ind w:left="50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2026-09-30T05:33:42.489Z</dcterms:created>
  <dcterms:modified xsi:type="dcterms:W3CDTF">2026-09-30T05:33:42.495Z</dcterms:modified>
</cp:coreProperties>
</file>

<file path=docProps/custom.xml><?xml version="1.0" encoding="utf-8"?>
<Properties xmlns="http://schemas.openxmlformats.org/officeDocument/2006/custom-properties" xmlns:vt="http://schemas.openxmlformats.org/officeDocument/2006/docPropsVTypes"/>
</file>